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5B855" w14:textId="16D8591F" w:rsidR="00D25E23" w:rsidRPr="00C41DA1" w:rsidRDefault="00670503" w:rsidP="00D25E23">
      <w:pPr>
        <w:jc w:val="center"/>
        <w:rPr>
          <w:b/>
          <w:sz w:val="24"/>
        </w:rPr>
      </w:pPr>
      <w:bookmarkStart w:id="0" w:name="_GoBack"/>
      <w:bookmarkEnd w:id="0"/>
      <w:r w:rsidRPr="00C41DA1">
        <w:rPr>
          <w:b/>
          <w:sz w:val="24"/>
        </w:rPr>
        <w:t>EU launches new Erasmus+ programme for 2021-2027</w:t>
      </w:r>
      <w:r w:rsidR="00460582">
        <w:rPr>
          <w:b/>
          <w:sz w:val="24"/>
        </w:rPr>
        <w:t xml:space="preserve"> and First Calls for Proposals </w:t>
      </w:r>
      <w:r w:rsidR="00053E9B">
        <w:rPr>
          <w:b/>
          <w:sz w:val="24"/>
        </w:rPr>
        <w:t xml:space="preserve"> </w:t>
      </w:r>
    </w:p>
    <w:p w14:paraId="04EE3EDE" w14:textId="6FADBC48" w:rsidR="00B72811" w:rsidRDefault="00B2730B" w:rsidP="000A1185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In March 2021</w:t>
      </w:r>
      <w:r w:rsidR="008900DD">
        <w:rPr>
          <w:i/>
          <w:iCs/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the </w:t>
      </w:r>
      <w:r w:rsidR="00B72811">
        <w:rPr>
          <w:i/>
          <w:iCs/>
          <w:sz w:val="24"/>
          <w:szCs w:val="24"/>
        </w:rPr>
        <w:t>European Union</w:t>
      </w:r>
      <w:r>
        <w:rPr>
          <w:i/>
          <w:iCs/>
          <w:sz w:val="24"/>
          <w:szCs w:val="24"/>
        </w:rPr>
        <w:t xml:space="preserve"> has launched the Erasmus+ programme supporting education, training, youth and sport</w:t>
      </w:r>
      <w:r w:rsidR="00374D76">
        <w:rPr>
          <w:i/>
          <w:iCs/>
          <w:sz w:val="24"/>
          <w:szCs w:val="24"/>
        </w:rPr>
        <w:t xml:space="preserve"> in the EU and worldwide </w:t>
      </w:r>
      <w:r>
        <w:rPr>
          <w:i/>
          <w:iCs/>
          <w:sz w:val="24"/>
          <w:szCs w:val="24"/>
        </w:rPr>
        <w:t xml:space="preserve">for the period 2021-2027. </w:t>
      </w:r>
    </w:p>
    <w:p w14:paraId="0C4BC7A1" w14:textId="6FBFE0F0" w:rsidR="005F27D2" w:rsidRDefault="002D7205" w:rsidP="009973A5">
      <w:pPr>
        <w:jc w:val="both"/>
        <w:rPr>
          <w:sz w:val="24"/>
        </w:rPr>
      </w:pPr>
      <w:r>
        <w:rPr>
          <w:sz w:val="24"/>
        </w:rPr>
        <w:t xml:space="preserve">The first </w:t>
      </w:r>
      <w:r w:rsidR="004062C7">
        <w:rPr>
          <w:sz w:val="24"/>
        </w:rPr>
        <w:t>c</w:t>
      </w:r>
      <w:r>
        <w:rPr>
          <w:sz w:val="24"/>
        </w:rPr>
        <w:t xml:space="preserve">alls </w:t>
      </w:r>
      <w:r w:rsidR="00460582">
        <w:rPr>
          <w:sz w:val="24"/>
        </w:rPr>
        <w:t>for</w:t>
      </w:r>
      <w:r>
        <w:rPr>
          <w:sz w:val="24"/>
        </w:rPr>
        <w:t xml:space="preserve"> </w:t>
      </w:r>
      <w:r w:rsidR="008900DD">
        <w:rPr>
          <w:sz w:val="24"/>
        </w:rPr>
        <w:t>p</w:t>
      </w:r>
      <w:r>
        <w:rPr>
          <w:sz w:val="24"/>
        </w:rPr>
        <w:t>roposals have been launched simultaneously and more will come towards the end of the year</w:t>
      </w:r>
      <w:r w:rsidR="00377E71">
        <w:rPr>
          <w:sz w:val="24"/>
        </w:rPr>
        <w:t xml:space="preserve"> (October/November)</w:t>
      </w:r>
      <w:r>
        <w:rPr>
          <w:sz w:val="24"/>
        </w:rPr>
        <w:t>.</w:t>
      </w:r>
      <w:r w:rsidR="00805A38">
        <w:rPr>
          <w:sz w:val="24"/>
        </w:rPr>
        <w:t xml:space="preserve"> </w:t>
      </w:r>
      <w:r w:rsidR="002C0C83">
        <w:rPr>
          <w:sz w:val="24"/>
        </w:rPr>
        <w:t>In the current calls, o</w:t>
      </w:r>
      <w:r w:rsidR="0001520C">
        <w:rPr>
          <w:sz w:val="24"/>
        </w:rPr>
        <w:t>rganisation</w:t>
      </w:r>
      <w:r w:rsidR="00A07D38">
        <w:rPr>
          <w:sz w:val="24"/>
        </w:rPr>
        <w:t xml:space="preserve">s from India </w:t>
      </w:r>
      <w:r w:rsidR="004062C7">
        <w:rPr>
          <w:sz w:val="24"/>
        </w:rPr>
        <w:t>can apply to the</w:t>
      </w:r>
      <w:r w:rsidR="002C0C83">
        <w:rPr>
          <w:sz w:val="24"/>
        </w:rPr>
        <w:t xml:space="preserve"> open c</w:t>
      </w:r>
      <w:r w:rsidR="00C95003">
        <w:rPr>
          <w:sz w:val="24"/>
        </w:rPr>
        <w:t>alls, alone or as consortium partners</w:t>
      </w:r>
      <w:r w:rsidR="00CC6B9F">
        <w:rPr>
          <w:sz w:val="24"/>
        </w:rPr>
        <w:t>,</w:t>
      </w:r>
      <w:r w:rsidR="00C95003">
        <w:rPr>
          <w:sz w:val="24"/>
        </w:rPr>
        <w:t xml:space="preserve"> with</w:t>
      </w:r>
      <w:r w:rsidR="00650521">
        <w:rPr>
          <w:sz w:val="24"/>
        </w:rPr>
        <w:t xml:space="preserve"> EU</w:t>
      </w:r>
      <w:r w:rsidR="00C95003">
        <w:rPr>
          <w:sz w:val="24"/>
        </w:rPr>
        <w:t xml:space="preserve"> institutions</w:t>
      </w:r>
      <w:r w:rsidR="00F03D02">
        <w:rPr>
          <w:sz w:val="24"/>
        </w:rPr>
        <w:t>*</w:t>
      </w:r>
      <w:r w:rsidR="007E3FED">
        <w:rPr>
          <w:sz w:val="24"/>
        </w:rPr>
        <w:t xml:space="preserve"> (and any other Partner countries**)</w:t>
      </w:r>
      <w:r w:rsidR="00C95003">
        <w:rPr>
          <w:sz w:val="24"/>
        </w:rPr>
        <w:t xml:space="preserve">, depending upon the </w:t>
      </w:r>
      <w:r w:rsidR="004062C7">
        <w:rPr>
          <w:sz w:val="24"/>
        </w:rPr>
        <w:t xml:space="preserve">specific </w:t>
      </w:r>
      <w:r w:rsidR="00C95003">
        <w:rPr>
          <w:sz w:val="24"/>
        </w:rPr>
        <w:t>nature of</w:t>
      </w:r>
      <w:r w:rsidR="00773F05">
        <w:rPr>
          <w:sz w:val="24"/>
        </w:rPr>
        <w:t xml:space="preserve"> that scheme</w:t>
      </w:r>
      <w:r w:rsidR="00377E71">
        <w:rPr>
          <w:sz w:val="24"/>
        </w:rPr>
        <w:t>.</w:t>
      </w:r>
    </w:p>
    <w:p w14:paraId="1E759033" w14:textId="4708FFC1" w:rsidR="009973A5" w:rsidRDefault="008900DD" w:rsidP="009973A5">
      <w:pPr>
        <w:jc w:val="both"/>
        <w:rPr>
          <w:lang w:val="en-IE"/>
        </w:rPr>
      </w:pPr>
      <w:r>
        <w:rPr>
          <w:sz w:val="24"/>
        </w:rPr>
        <w:t>A snapshot of t</w:t>
      </w:r>
      <w:r w:rsidR="002D7205">
        <w:rPr>
          <w:sz w:val="24"/>
        </w:rPr>
        <w:t xml:space="preserve">he </w:t>
      </w:r>
      <w:r w:rsidR="005E617A">
        <w:rPr>
          <w:sz w:val="24"/>
        </w:rPr>
        <w:t>three</w:t>
      </w:r>
      <w:r w:rsidR="00855E8F">
        <w:rPr>
          <w:sz w:val="24"/>
        </w:rPr>
        <w:t xml:space="preserve"> opportunities open for application</w:t>
      </w:r>
      <w:r>
        <w:rPr>
          <w:sz w:val="24"/>
        </w:rPr>
        <w:t xml:space="preserve"> is given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2E0BE2" w14:paraId="64C69DCB" w14:textId="77777777" w:rsidTr="002E0BE2">
        <w:tc>
          <w:tcPr>
            <w:tcW w:w="1803" w:type="dxa"/>
          </w:tcPr>
          <w:p w14:paraId="54783500" w14:textId="77777777" w:rsidR="002E0BE2" w:rsidRDefault="002E0BE2" w:rsidP="002E0BE2">
            <w:pPr>
              <w:jc w:val="both"/>
              <w:rPr>
                <w:lang w:val="en-IE"/>
              </w:rPr>
            </w:pPr>
          </w:p>
        </w:tc>
        <w:tc>
          <w:tcPr>
            <w:tcW w:w="1803" w:type="dxa"/>
          </w:tcPr>
          <w:p w14:paraId="22962E3F" w14:textId="73563EEA" w:rsidR="002E0BE2" w:rsidRDefault="002E0BE2" w:rsidP="002E0BE2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b/>
                <w:bCs/>
                <w:color w:val="000000"/>
              </w:rPr>
              <w:t xml:space="preserve">What does it offer? </w:t>
            </w:r>
          </w:p>
        </w:tc>
        <w:tc>
          <w:tcPr>
            <w:tcW w:w="1803" w:type="dxa"/>
          </w:tcPr>
          <w:p w14:paraId="7678FA47" w14:textId="710D146C" w:rsidR="002E0BE2" w:rsidRDefault="002E0BE2" w:rsidP="002E0BE2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b/>
                <w:bCs/>
                <w:color w:val="000000"/>
              </w:rPr>
              <w:t>Who can apply to manage a grant?</w:t>
            </w:r>
          </w:p>
        </w:tc>
        <w:tc>
          <w:tcPr>
            <w:tcW w:w="1803" w:type="dxa"/>
          </w:tcPr>
          <w:p w14:paraId="1A267C5E" w14:textId="460A8F9F" w:rsidR="002E0BE2" w:rsidRDefault="002E0BE2" w:rsidP="002E0BE2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b/>
                <w:bCs/>
                <w:color w:val="000000"/>
              </w:rPr>
              <w:t xml:space="preserve">Call for Proposals </w:t>
            </w:r>
          </w:p>
        </w:tc>
        <w:tc>
          <w:tcPr>
            <w:tcW w:w="1804" w:type="dxa"/>
          </w:tcPr>
          <w:p w14:paraId="517DDE51" w14:textId="1EA19D8D" w:rsidR="002E0BE2" w:rsidRDefault="002E0BE2" w:rsidP="002E0BE2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b/>
                <w:bCs/>
                <w:color w:val="000000"/>
              </w:rPr>
              <w:t>Who else can participate in the project?</w:t>
            </w:r>
          </w:p>
        </w:tc>
      </w:tr>
      <w:tr w:rsidR="002E0BE2" w:rsidRPr="002E0BE2" w14:paraId="51496E9C" w14:textId="77777777" w:rsidTr="002E0BE2">
        <w:tc>
          <w:tcPr>
            <w:tcW w:w="1803" w:type="dxa"/>
          </w:tcPr>
          <w:p w14:paraId="32A062D1" w14:textId="2EBFB838" w:rsidR="002E0BE2" w:rsidRPr="002E0BE2" w:rsidRDefault="00197FAE" w:rsidP="002E0BE2">
            <w:pPr>
              <w:jc w:val="both"/>
              <w:rPr>
                <w:lang w:val="fr-BE"/>
              </w:rPr>
            </w:pPr>
            <w:hyperlink r:id="rId5" w:history="1">
              <w:r w:rsidR="002E0BE2" w:rsidRPr="00696FA3">
                <w:rPr>
                  <w:rStyle w:val="Hyperlink"/>
                  <w:rFonts w:cstheme="minorHAnsi"/>
                  <w:b/>
                  <w:lang w:val="fr-BE"/>
                </w:rPr>
                <w:t>Erasmus Mundus Joint Masters (EMJM)</w:t>
              </w:r>
            </w:hyperlink>
          </w:p>
        </w:tc>
        <w:tc>
          <w:tcPr>
            <w:tcW w:w="1803" w:type="dxa"/>
          </w:tcPr>
          <w:p w14:paraId="4DFBBF3F" w14:textId="6CE9FC80" w:rsidR="002E0BE2" w:rsidRPr="002E0BE2" w:rsidRDefault="002E0BE2" w:rsidP="002E0BE2">
            <w:pPr>
              <w:jc w:val="both"/>
            </w:pPr>
            <w:r w:rsidRPr="00CD7C82">
              <w:rPr>
                <w:rFonts w:cstheme="minorHAnsi"/>
                <w:lang w:val="en-IE"/>
              </w:rPr>
              <w:t>High-quality international integrated master degree programmes with EU-funded scholarships to attract the brightest students</w:t>
            </w:r>
          </w:p>
        </w:tc>
        <w:tc>
          <w:tcPr>
            <w:tcW w:w="1803" w:type="dxa"/>
          </w:tcPr>
          <w:p w14:paraId="4DE4AD20" w14:textId="500D4BFE" w:rsidR="002E0BE2" w:rsidRPr="002E0BE2" w:rsidRDefault="002E0BE2" w:rsidP="002E0BE2">
            <w:pPr>
              <w:jc w:val="both"/>
            </w:pPr>
            <w:r w:rsidRPr="00CD7C82">
              <w:rPr>
                <w:rFonts w:cstheme="minorHAnsi"/>
                <w:color w:val="000000"/>
              </w:rPr>
              <w:t>Any higher education institution may submit an application on behalf of the consortium that delivers the EMJMD</w:t>
            </w:r>
          </w:p>
        </w:tc>
        <w:tc>
          <w:tcPr>
            <w:tcW w:w="1803" w:type="dxa"/>
          </w:tcPr>
          <w:p w14:paraId="0E97ABC5" w14:textId="1124D5A6" w:rsidR="002E0BE2" w:rsidRPr="005C3C81" w:rsidRDefault="002E0BE2" w:rsidP="002E0B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D7C82">
              <w:rPr>
                <w:rFonts w:cstheme="minorHAnsi"/>
                <w:color w:val="000000"/>
              </w:rPr>
              <w:t>Opens: 2</w:t>
            </w:r>
            <w:r w:rsidR="00696FA3">
              <w:rPr>
                <w:rFonts w:cstheme="minorHAnsi"/>
                <w:color w:val="000000"/>
              </w:rPr>
              <w:t xml:space="preserve">0 April </w:t>
            </w:r>
            <w:r w:rsidRPr="00CD7C82">
              <w:rPr>
                <w:rFonts w:cstheme="minorHAnsi"/>
                <w:color w:val="000000"/>
              </w:rPr>
              <w:t xml:space="preserve">2021 </w:t>
            </w:r>
          </w:p>
          <w:p w14:paraId="58D28B47" w14:textId="0CD0D52E" w:rsidR="002E0BE2" w:rsidRPr="002E0BE2" w:rsidRDefault="002E0BE2" w:rsidP="00B83BD7">
            <w:pPr>
              <w:jc w:val="both"/>
            </w:pPr>
            <w:r w:rsidRPr="00CD7C82">
              <w:rPr>
                <w:rFonts w:cstheme="minorHAnsi"/>
                <w:color w:val="000000"/>
              </w:rPr>
              <w:t>Clos</w:t>
            </w:r>
            <w:r w:rsidR="00855E8F">
              <w:rPr>
                <w:rFonts w:cstheme="minorHAnsi"/>
                <w:color w:val="000000"/>
              </w:rPr>
              <w:t xml:space="preserve">ing deadline: </w:t>
            </w:r>
            <w:r w:rsidRPr="00CD7C82">
              <w:rPr>
                <w:rFonts w:cstheme="minorHAnsi"/>
                <w:color w:val="000000"/>
              </w:rPr>
              <w:t>26 May 2021</w:t>
            </w:r>
          </w:p>
        </w:tc>
        <w:tc>
          <w:tcPr>
            <w:tcW w:w="1804" w:type="dxa"/>
          </w:tcPr>
          <w:p w14:paraId="4E3FEBBF" w14:textId="77777777" w:rsidR="002E0BE2" w:rsidRPr="005C3C81" w:rsidRDefault="002E0BE2" w:rsidP="002E0B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D7C82">
              <w:rPr>
                <w:rFonts w:cstheme="minorHAnsi"/>
                <w:color w:val="000000"/>
              </w:rPr>
              <w:t xml:space="preserve">Other organisations such as </w:t>
            </w:r>
          </w:p>
          <w:p w14:paraId="0543E45E" w14:textId="77777777" w:rsidR="002E0BE2" w:rsidRPr="005C3C81" w:rsidRDefault="002E0BE2" w:rsidP="002E0B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CD7C82">
              <w:rPr>
                <w:rFonts w:cstheme="minorHAnsi"/>
                <w:color w:val="000000"/>
              </w:rPr>
              <w:t xml:space="preserve">enterprises, public bodies, NGOs and research institutes may also participate in the EMJM consortium as partners or associated partners. </w:t>
            </w:r>
            <w:r w:rsidRPr="005C3C81">
              <w:rPr>
                <w:rFonts w:cstheme="minorHAnsi"/>
                <w:color w:val="000000"/>
              </w:rPr>
              <w:t xml:space="preserve">  </w:t>
            </w:r>
          </w:p>
          <w:p w14:paraId="2035F6CA" w14:textId="189CA5CB" w:rsidR="002E0BE2" w:rsidRPr="002E0BE2" w:rsidRDefault="002E0BE2" w:rsidP="002E0BE2">
            <w:pPr>
              <w:jc w:val="both"/>
            </w:pPr>
            <w:r w:rsidRPr="00CD7C82">
              <w:rPr>
                <w:rFonts w:cstheme="minorHAnsi"/>
                <w:color w:val="000000"/>
              </w:rPr>
              <w:t xml:space="preserve"> </w:t>
            </w:r>
          </w:p>
        </w:tc>
      </w:tr>
      <w:tr w:rsidR="002E0BE2" w14:paraId="79D39E95" w14:textId="77777777" w:rsidTr="002E0BE2">
        <w:tc>
          <w:tcPr>
            <w:tcW w:w="1803" w:type="dxa"/>
          </w:tcPr>
          <w:p w14:paraId="09253E9A" w14:textId="09A8E499" w:rsidR="002E0BE2" w:rsidRDefault="00197FAE" w:rsidP="002E0BE2">
            <w:pPr>
              <w:jc w:val="both"/>
              <w:rPr>
                <w:lang w:val="en-IE"/>
              </w:rPr>
            </w:pPr>
            <w:hyperlink r:id="rId6" w:history="1">
              <w:r w:rsidR="002E0BE2" w:rsidRPr="00696FA3">
                <w:rPr>
                  <w:rStyle w:val="Hyperlink"/>
                  <w:rFonts w:cstheme="minorHAnsi"/>
                  <w:b/>
                  <w:bCs/>
                </w:rPr>
                <w:t xml:space="preserve">Erasmus Mundus Joint Master Design Measures </w:t>
              </w:r>
              <w:r w:rsidR="002E0BE2" w:rsidRPr="00696FA3">
                <w:rPr>
                  <w:rStyle w:val="Hyperlink"/>
                  <w:rFonts w:cstheme="minorHAnsi"/>
                  <w:b/>
                </w:rPr>
                <w:t>(DM)</w:t>
              </w:r>
            </w:hyperlink>
          </w:p>
        </w:tc>
        <w:tc>
          <w:tcPr>
            <w:tcW w:w="1803" w:type="dxa"/>
          </w:tcPr>
          <w:p w14:paraId="233F9221" w14:textId="33D30FEB" w:rsidR="009F0615" w:rsidRDefault="002E0BE2" w:rsidP="009F0615">
            <w:pPr>
              <w:jc w:val="both"/>
              <w:rPr>
                <w:rFonts w:cstheme="minorHAnsi"/>
                <w:lang w:val="en-IE"/>
              </w:rPr>
            </w:pPr>
            <w:r w:rsidRPr="00CD7C82">
              <w:rPr>
                <w:rFonts w:cstheme="minorHAnsi"/>
                <w:lang w:val="en-IE"/>
              </w:rPr>
              <w:t xml:space="preserve">This new </w:t>
            </w:r>
            <w:r w:rsidR="00B83BD7">
              <w:rPr>
                <w:rFonts w:cstheme="minorHAnsi"/>
                <w:lang w:val="en-IE"/>
              </w:rPr>
              <w:t>scheme</w:t>
            </w:r>
            <w:r w:rsidRPr="00CD7C82">
              <w:rPr>
                <w:rFonts w:cstheme="minorHAnsi"/>
                <w:lang w:val="en-IE"/>
              </w:rPr>
              <w:t xml:space="preserve"> contributes to the costs </w:t>
            </w:r>
            <w:r w:rsidR="009F0615">
              <w:rPr>
                <w:rFonts w:cstheme="minorHAnsi"/>
                <w:lang w:val="en-IE"/>
              </w:rPr>
              <w:t>to prepare full-fledged</w:t>
            </w:r>
            <w:r w:rsidR="002C0C83">
              <w:rPr>
                <w:rFonts w:cstheme="minorHAnsi"/>
                <w:lang w:val="en-IE"/>
              </w:rPr>
              <w:t xml:space="preserve"> </w:t>
            </w:r>
            <w:r w:rsidRPr="00CD7C82">
              <w:rPr>
                <w:rFonts w:cstheme="minorHAnsi"/>
                <w:lang w:val="en-IE"/>
              </w:rPr>
              <w:t>joint programmes</w:t>
            </w:r>
            <w:r w:rsidR="009F0615">
              <w:rPr>
                <w:rFonts w:cstheme="minorHAnsi"/>
                <w:lang w:val="en-IE"/>
              </w:rPr>
              <w:t>, based on joint curriculum.</w:t>
            </w:r>
          </w:p>
          <w:p w14:paraId="74DF4AF2" w14:textId="58D5CBC9" w:rsidR="002E0BE2" w:rsidRDefault="002E0BE2" w:rsidP="009F0615">
            <w:pPr>
              <w:jc w:val="both"/>
              <w:rPr>
                <w:lang w:val="en-IE"/>
              </w:rPr>
            </w:pPr>
          </w:p>
        </w:tc>
        <w:tc>
          <w:tcPr>
            <w:tcW w:w="1803" w:type="dxa"/>
          </w:tcPr>
          <w:p w14:paraId="354B1E2D" w14:textId="0AACD63F" w:rsidR="002E0BE2" w:rsidRDefault="002E0BE2" w:rsidP="002E0BE2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color w:val="000000"/>
              </w:rPr>
              <w:t>Any higher education institution may submit an application on behalf of the partnership.</w:t>
            </w:r>
          </w:p>
        </w:tc>
        <w:tc>
          <w:tcPr>
            <w:tcW w:w="1803" w:type="dxa"/>
          </w:tcPr>
          <w:p w14:paraId="7857B47D" w14:textId="60B9594F" w:rsidR="002E0BE2" w:rsidRPr="005C3C81" w:rsidRDefault="00696FA3" w:rsidP="002E0BE2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Opens: 20 April 2</w:t>
            </w:r>
            <w:r w:rsidR="002E0BE2" w:rsidRPr="00CD7C82">
              <w:rPr>
                <w:rFonts w:cstheme="minorHAnsi"/>
                <w:color w:val="000000"/>
              </w:rPr>
              <w:t xml:space="preserve">021 </w:t>
            </w:r>
          </w:p>
          <w:p w14:paraId="1DD16C5B" w14:textId="0100F53D" w:rsidR="002E0BE2" w:rsidRDefault="002E0BE2" w:rsidP="00855E8F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color w:val="000000"/>
              </w:rPr>
              <w:t>Clos</w:t>
            </w:r>
            <w:r w:rsidR="00855E8F">
              <w:rPr>
                <w:rFonts w:cstheme="minorHAnsi"/>
                <w:color w:val="000000"/>
              </w:rPr>
              <w:t xml:space="preserve">ing deadline: </w:t>
            </w:r>
            <w:r w:rsidRPr="00CD7C82">
              <w:rPr>
                <w:rFonts w:cstheme="minorHAnsi"/>
                <w:color w:val="000000"/>
              </w:rPr>
              <w:t>26 May 2021</w:t>
            </w:r>
          </w:p>
        </w:tc>
        <w:tc>
          <w:tcPr>
            <w:tcW w:w="1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88"/>
            </w:tblGrid>
            <w:tr w:rsidR="002E0BE2" w:rsidRPr="00E75418" w14:paraId="73B8E86E" w14:textId="77777777" w:rsidTr="005838EA">
              <w:trPr>
                <w:trHeight w:val="278"/>
              </w:trPr>
              <w:tc>
                <w:tcPr>
                  <w:tcW w:w="0" w:type="auto"/>
                </w:tcPr>
                <w:p w14:paraId="66194D57" w14:textId="391F0497" w:rsidR="002E0BE2" w:rsidRPr="00E75418" w:rsidRDefault="0015772B" w:rsidP="003F1702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 w:rsidRPr="00CD7C82">
                    <w:rPr>
                      <w:rFonts w:cstheme="minorHAnsi"/>
                      <w:color w:val="000000"/>
                    </w:rPr>
                    <w:t xml:space="preserve">Other organisations such as enterprises, public bodies, NGOs and research institutes </w:t>
                  </w:r>
                  <w:r w:rsidR="0012127E">
                    <w:rPr>
                      <w:rFonts w:cstheme="minorHAnsi"/>
                      <w:color w:val="000000"/>
                    </w:rPr>
                    <w:t>may also participate in the</w:t>
                  </w:r>
                  <w:r w:rsidR="003F1702">
                    <w:rPr>
                      <w:rFonts w:cstheme="minorHAnsi"/>
                      <w:color w:val="000000"/>
                    </w:rPr>
                    <w:t xml:space="preserve"> DM</w:t>
                  </w:r>
                  <w:r w:rsidR="00526CA0">
                    <w:rPr>
                      <w:rFonts w:cstheme="minorHAnsi"/>
                      <w:color w:val="000000"/>
                    </w:rPr>
                    <w:t xml:space="preserve"> </w:t>
                  </w:r>
                  <w:r w:rsidRPr="00CD7C82">
                    <w:rPr>
                      <w:rFonts w:cstheme="minorHAnsi"/>
                      <w:color w:val="000000"/>
                    </w:rPr>
                    <w:t>consortium as partners or associated partners</w:t>
                  </w:r>
                </w:p>
              </w:tc>
            </w:tr>
          </w:tbl>
          <w:p w14:paraId="0636A7E5" w14:textId="77777777" w:rsidR="002E0BE2" w:rsidRPr="002E0BE2" w:rsidRDefault="002E0BE2" w:rsidP="002E0BE2">
            <w:pPr>
              <w:jc w:val="both"/>
            </w:pPr>
          </w:p>
        </w:tc>
      </w:tr>
      <w:tr w:rsidR="00C6177A" w14:paraId="63675F1E" w14:textId="77777777" w:rsidTr="002E0BE2">
        <w:tc>
          <w:tcPr>
            <w:tcW w:w="1803" w:type="dxa"/>
          </w:tcPr>
          <w:p w14:paraId="4677A247" w14:textId="431A0D99" w:rsidR="00C6177A" w:rsidRDefault="00C6177A" w:rsidP="00C6177A">
            <w:pPr>
              <w:jc w:val="both"/>
              <w:rPr>
                <w:lang w:val="en-IE"/>
              </w:rPr>
            </w:pPr>
            <w:r w:rsidRPr="00930038">
              <w:rPr>
                <w:rFonts w:cstheme="minorHAnsi"/>
                <w:b/>
                <w:bCs/>
                <w:color w:val="000000"/>
              </w:rPr>
              <w:lastRenderedPageBreak/>
              <w:t xml:space="preserve">Jean Monnet Actions </w:t>
            </w:r>
            <w:r w:rsidRPr="00930038">
              <w:rPr>
                <w:rFonts w:cstheme="minorHAnsi"/>
                <w:b/>
                <w:color w:val="000000"/>
              </w:rPr>
              <w:t>(JMA)</w:t>
            </w:r>
          </w:p>
        </w:tc>
        <w:tc>
          <w:tcPr>
            <w:tcW w:w="1803" w:type="dxa"/>
          </w:tcPr>
          <w:p w14:paraId="76996A36" w14:textId="23B3B4F2" w:rsidR="00C6177A" w:rsidRDefault="00C6177A" w:rsidP="00C6177A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color w:val="000000"/>
              </w:rPr>
              <w:t>Excellence in teaching and research in the field of European Union studies worldwide</w:t>
            </w:r>
            <w:r w:rsidR="00C95003">
              <w:rPr>
                <w:rFonts w:cstheme="minorHAnsi"/>
                <w:color w:val="000000"/>
              </w:rPr>
              <w:t xml:space="preserve">. This includes support for </w:t>
            </w:r>
            <w:hyperlink r:id="rId7" w:history="1">
              <w:r w:rsidR="00C95003" w:rsidRPr="0000668B">
                <w:rPr>
                  <w:rStyle w:val="Hyperlink"/>
                  <w:rFonts w:cstheme="minorHAnsi"/>
                </w:rPr>
                <w:t>JM module</w:t>
              </w:r>
            </w:hyperlink>
            <w:r w:rsidR="00C95003">
              <w:rPr>
                <w:rFonts w:cstheme="minorHAnsi"/>
                <w:color w:val="000000"/>
              </w:rPr>
              <w:t xml:space="preserve">, </w:t>
            </w:r>
            <w:hyperlink r:id="rId8" w:history="1">
              <w:r w:rsidR="00C95003" w:rsidRPr="0000668B">
                <w:rPr>
                  <w:rStyle w:val="Hyperlink"/>
                  <w:rFonts w:cstheme="minorHAnsi"/>
                </w:rPr>
                <w:t>JM Chair</w:t>
              </w:r>
            </w:hyperlink>
            <w:r w:rsidR="00C95003">
              <w:rPr>
                <w:rFonts w:cstheme="minorHAnsi"/>
                <w:color w:val="000000"/>
              </w:rPr>
              <w:t xml:space="preserve">, and a </w:t>
            </w:r>
            <w:hyperlink r:id="rId9" w:history="1">
              <w:r w:rsidR="00C95003" w:rsidRPr="0000668B">
                <w:rPr>
                  <w:rStyle w:val="Hyperlink"/>
                  <w:rFonts w:cstheme="minorHAnsi"/>
                </w:rPr>
                <w:t>Centre of Excellence</w:t>
              </w:r>
            </w:hyperlink>
            <w:r w:rsidR="00C95003">
              <w:rPr>
                <w:rFonts w:cstheme="minorHAnsi"/>
                <w:color w:val="000000"/>
              </w:rPr>
              <w:t>.</w:t>
            </w:r>
            <w:r w:rsidRPr="00CD7C82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803" w:type="dxa"/>
          </w:tcPr>
          <w:p w14:paraId="768C9373" w14:textId="350993FB" w:rsidR="00C6177A" w:rsidRDefault="00C6177A" w:rsidP="00C6177A">
            <w:pPr>
              <w:jc w:val="both"/>
              <w:rPr>
                <w:lang w:val="en-IE"/>
              </w:rPr>
            </w:pPr>
            <w:r w:rsidRPr="00CD7C82">
              <w:rPr>
                <w:rFonts w:cstheme="minorHAnsi"/>
                <w:color w:val="000000"/>
              </w:rPr>
              <w:t xml:space="preserve">Higher education institutions, organisations and associations around the world are eligible to apply for Jean Monnet actions </w:t>
            </w:r>
          </w:p>
        </w:tc>
        <w:tc>
          <w:tcPr>
            <w:tcW w:w="180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68"/>
            </w:tblGrid>
            <w:tr w:rsidR="00C6177A" w:rsidRPr="00930038" w14:paraId="5CB6A23F" w14:textId="77777777" w:rsidTr="000A1185">
              <w:trPr>
                <w:trHeight w:val="1571"/>
              </w:trPr>
              <w:tc>
                <w:tcPr>
                  <w:tcW w:w="1568" w:type="dxa"/>
                </w:tcPr>
                <w:p w14:paraId="527F61DE" w14:textId="1D0580DA" w:rsidR="00C6177A" w:rsidRPr="005C3C81" w:rsidRDefault="00787F19" w:rsidP="00C6177A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Opens: 20</w:t>
                  </w:r>
                  <w:r w:rsidR="000A1185">
                    <w:rPr>
                      <w:rFonts w:cstheme="minorHAnsi"/>
                      <w:color w:val="000000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</w:rPr>
                    <w:t>April</w:t>
                  </w:r>
                  <w:r w:rsidR="00C6177A" w:rsidRPr="00CD7C82">
                    <w:rPr>
                      <w:rFonts w:cstheme="minorHAnsi"/>
                      <w:color w:val="000000"/>
                    </w:rPr>
                    <w:t xml:space="preserve"> 2021 </w:t>
                  </w:r>
                </w:p>
                <w:p w14:paraId="4B7EDB7A" w14:textId="1CCCD8B7" w:rsidR="00C6177A" w:rsidRPr="00930038" w:rsidRDefault="00C6177A" w:rsidP="00855E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5C3C81">
                    <w:rPr>
                      <w:rFonts w:cstheme="minorHAnsi"/>
                      <w:color w:val="000000"/>
                    </w:rPr>
                    <w:t>Clos</w:t>
                  </w:r>
                  <w:r w:rsidR="00855E8F">
                    <w:rPr>
                      <w:rFonts w:cstheme="minorHAnsi"/>
                      <w:color w:val="000000"/>
                    </w:rPr>
                    <w:t xml:space="preserve">ing deadline: </w:t>
                  </w:r>
                  <w:r w:rsidRPr="005C3C81">
                    <w:rPr>
                      <w:rFonts w:cstheme="minorHAnsi"/>
                      <w:color w:val="000000"/>
                    </w:rPr>
                    <w:t xml:space="preserve"> 2 June 2021</w:t>
                  </w:r>
                </w:p>
              </w:tc>
            </w:tr>
          </w:tbl>
          <w:p w14:paraId="0A018A1B" w14:textId="77777777" w:rsidR="00C6177A" w:rsidRDefault="00C6177A" w:rsidP="00C6177A">
            <w:pPr>
              <w:jc w:val="both"/>
              <w:rPr>
                <w:lang w:val="en-IE"/>
              </w:rPr>
            </w:pPr>
          </w:p>
        </w:tc>
        <w:tc>
          <w:tcPr>
            <w:tcW w:w="1804" w:type="dxa"/>
          </w:tcPr>
          <w:p w14:paraId="781BF3DD" w14:textId="75FFEEB1" w:rsidR="00C6177A" w:rsidRDefault="00C6177A" w:rsidP="003F1702">
            <w:pPr>
              <w:jc w:val="both"/>
              <w:rPr>
                <w:lang w:val="en-IE"/>
              </w:rPr>
            </w:pPr>
            <w:r w:rsidRPr="00E75418">
              <w:rPr>
                <w:rFonts w:cstheme="minorHAnsi"/>
                <w:color w:val="000000"/>
              </w:rPr>
              <w:t xml:space="preserve">Jean Monnet </w:t>
            </w:r>
            <w:r w:rsidR="003F1702">
              <w:rPr>
                <w:rFonts w:cstheme="minorHAnsi"/>
                <w:color w:val="000000"/>
              </w:rPr>
              <w:t xml:space="preserve">actions open for application </w:t>
            </w:r>
            <w:r w:rsidRPr="00E75418">
              <w:rPr>
                <w:rFonts w:cstheme="minorHAnsi"/>
                <w:color w:val="000000"/>
              </w:rPr>
              <w:t>involve one organisation only.</w:t>
            </w:r>
          </w:p>
        </w:tc>
      </w:tr>
    </w:tbl>
    <w:p w14:paraId="0FF4421B" w14:textId="77777777" w:rsidR="00C6177A" w:rsidRDefault="00C6177A" w:rsidP="00C6177A">
      <w:pPr>
        <w:jc w:val="both"/>
        <w:rPr>
          <w:rFonts w:ascii="Verdana" w:hAnsi="Verdana" w:cs="Verdana"/>
          <w:color w:val="000000"/>
          <w:sz w:val="14"/>
          <w:szCs w:val="14"/>
        </w:rPr>
      </w:pPr>
      <w:r w:rsidRPr="00DA27EF">
        <w:rPr>
          <w:rFonts w:ascii="Verdana" w:hAnsi="Verdana" w:cs="Verdana"/>
          <w:color w:val="000000"/>
          <w:sz w:val="14"/>
          <w:szCs w:val="14"/>
        </w:rPr>
        <w:t xml:space="preserve">* Programme countries comprise all EU Member States plus Iceland, Liechtenstein, North Macedonia, Norway, Serbia, and Turkey. </w:t>
      </w:r>
    </w:p>
    <w:p w14:paraId="4FCD2865" w14:textId="2898D1CA" w:rsidR="00E912D9" w:rsidRDefault="00C6177A" w:rsidP="00C6177A">
      <w:pPr>
        <w:jc w:val="both"/>
        <w:rPr>
          <w:lang w:val="en-IE"/>
        </w:rPr>
      </w:pPr>
      <w:r>
        <w:rPr>
          <w:rFonts w:ascii="Verdana" w:hAnsi="Verdana" w:cs="Verdana"/>
          <w:color w:val="000000"/>
          <w:sz w:val="14"/>
          <w:szCs w:val="14"/>
        </w:rPr>
        <w:t>**</w:t>
      </w:r>
      <w:r w:rsidRPr="00DA27EF">
        <w:rPr>
          <w:rFonts w:ascii="Verdana" w:hAnsi="Verdana" w:cs="Verdana"/>
          <w:color w:val="000000"/>
          <w:sz w:val="14"/>
          <w:szCs w:val="14"/>
        </w:rPr>
        <w:t>Partner countries are all other countries worldwide.</w:t>
      </w:r>
    </w:p>
    <w:p w14:paraId="5177EA4D" w14:textId="77777777" w:rsidR="002C0C83" w:rsidRDefault="002C0C83" w:rsidP="009973A5">
      <w:pPr>
        <w:jc w:val="both"/>
        <w:rPr>
          <w:sz w:val="24"/>
          <w:szCs w:val="24"/>
          <w:lang w:val="en-IE"/>
        </w:rPr>
      </w:pPr>
    </w:p>
    <w:p w14:paraId="61766BA7" w14:textId="006465BE" w:rsidR="00EE18A8" w:rsidRPr="00A41E32" w:rsidRDefault="00EE18A8" w:rsidP="009973A5">
      <w:pPr>
        <w:jc w:val="both"/>
        <w:rPr>
          <w:sz w:val="24"/>
          <w:szCs w:val="24"/>
          <w:lang w:val="en-IE"/>
        </w:rPr>
      </w:pPr>
      <w:r w:rsidRPr="00A41E32">
        <w:rPr>
          <w:sz w:val="24"/>
          <w:szCs w:val="24"/>
          <w:lang w:val="en-IE"/>
        </w:rPr>
        <w:t xml:space="preserve">For more details on </w:t>
      </w:r>
      <w:r w:rsidR="003F1702" w:rsidRPr="00A41E32">
        <w:rPr>
          <w:sz w:val="24"/>
          <w:szCs w:val="24"/>
          <w:lang w:val="en-IE"/>
        </w:rPr>
        <w:t xml:space="preserve">the </w:t>
      </w:r>
      <w:r w:rsidRPr="00A41E32">
        <w:rPr>
          <w:sz w:val="24"/>
          <w:szCs w:val="24"/>
          <w:lang w:val="en-IE"/>
        </w:rPr>
        <w:t>different programmes</w:t>
      </w:r>
      <w:r w:rsidR="006909E2" w:rsidRPr="00A41E32">
        <w:rPr>
          <w:sz w:val="24"/>
          <w:szCs w:val="24"/>
          <w:lang w:val="en-IE"/>
        </w:rPr>
        <w:t xml:space="preserve"> on offer</w:t>
      </w:r>
      <w:r w:rsidRPr="00A41E32">
        <w:rPr>
          <w:sz w:val="24"/>
          <w:szCs w:val="24"/>
          <w:lang w:val="en-IE"/>
        </w:rPr>
        <w:t xml:space="preserve">, whom to partner </w:t>
      </w:r>
      <w:r w:rsidR="002F5232" w:rsidRPr="00A41E32">
        <w:rPr>
          <w:sz w:val="24"/>
          <w:szCs w:val="24"/>
          <w:lang w:val="en-IE"/>
        </w:rPr>
        <w:t xml:space="preserve">with </w:t>
      </w:r>
      <w:r w:rsidRPr="00A41E32">
        <w:rPr>
          <w:sz w:val="24"/>
          <w:szCs w:val="24"/>
          <w:lang w:val="en-IE"/>
        </w:rPr>
        <w:t>in Europe, how to partner with them, how to submit an application, what is funded, amount of funding and many more questions visit Erasmus+ website</w:t>
      </w:r>
      <w:r w:rsidR="00587DFF" w:rsidRPr="00A41E32">
        <w:rPr>
          <w:sz w:val="24"/>
          <w:szCs w:val="24"/>
          <w:lang w:val="en-IE"/>
        </w:rPr>
        <w:t xml:space="preserve"> and Funding &amp; Tender Portal</w:t>
      </w:r>
      <w:r w:rsidRPr="00A41E32">
        <w:rPr>
          <w:sz w:val="24"/>
          <w:szCs w:val="24"/>
          <w:lang w:val="en-IE"/>
        </w:rPr>
        <w:t xml:space="preserve">. </w:t>
      </w:r>
    </w:p>
    <w:p w14:paraId="70BA43E2" w14:textId="0D595A9B" w:rsidR="001C35A6" w:rsidRDefault="00197FAE" w:rsidP="009973A5">
      <w:pPr>
        <w:jc w:val="both"/>
      </w:pPr>
      <w:hyperlink r:id="rId10" w:history="1">
        <w:r w:rsidR="001C35A6" w:rsidRPr="00887206">
          <w:rPr>
            <w:rStyle w:val="Hyperlink"/>
          </w:rPr>
          <w:t>https://ec.europa.eu/programmes/erasmus-plus/node_en</w:t>
        </w:r>
      </w:hyperlink>
    </w:p>
    <w:p w14:paraId="15A3175F" w14:textId="224C2A9A" w:rsidR="0000668B" w:rsidRDefault="00197FAE" w:rsidP="009973A5">
      <w:pPr>
        <w:jc w:val="both"/>
      </w:pPr>
      <w:hyperlink r:id="rId11" w:history="1">
        <w:r w:rsidR="0000668B" w:rsidRPr="00C30274">
          <w:rPr>
            <w:rStyle w:val="Hyperlink"/>
          </w:rPr>
          <w:t>https://www.eacea.ec.europa.eu/grants/2021-2027_en</w:t>
        </w:r>
      </w:hyperlink>
    </w:p>
    <w:p w14:paraId="170CDCCF" w14:textId="267FF33C" w:rsidR="00EE18A8" w:rsidRDefault="00EE18A8" w:rsidP="009973A5">
      <w:pPr>
        <w:jc w:val="both"/>
        <w:rPr>
          <w:lang w:val="en-IE"/>
        </w:rPr>
      </w:pPr>
      <w:r>
        <w:rPr>
          <w:lang w:val="en-IE"/>
        </w:rPr>
        <w:t>You can also reach to us</w:t>
      </w:r>
      <w:r w:rsidR="00F402C4">
        <w:rPr>
          <w:lang w:val="en-IE"/>
        </w:rPr>
        <w:t xml:space="preserve"> at </w:t>
      </w:r>
      <w:hyperlink r:id="rId12" w:history="1">
        <w:r w:rsidR="00F402C4" w:rsidRPr="00C91A70">
          <w:rPr>
            <w:rStyle w:val="Hyperlink"/>
            <w:lang w:val="en-IE"/>
          </w:rPr>
          <w:t>DELEGATION-INDIA-HE@eeas.europa.eu</w:t>
        </w:r>
      </w:hyperlink>
      <w:r w:rsidR="002F5232">
        <w:rPr>
          <w:lang w:val="en-IE"/>
        </w:rPr>
        <w:t xml:space="preserve"> for further queries.</w:t>
      </w:r>
    </w:p>
    <w:p w14:paraId="6B25F2BB" w14:textId="78D1D591" w:rsidR="00C6177A" w:rsidRPr="00C6177A" w:rsidRDefault="00C6177A" w:rsidP="009973A5">
      <w:pPr>
        <w:jc w:val="both"/>
        <w:rPr>
          <w:b/>
          <w:lang w:val="en-IE"/>
        </w:rPr>
      </w:pPr>
      <w:r w:rsidRPr="00C6177A">
        <w:rPr>
          <w:b/>
          <w:lang w:val="en-IE"/>
        </w:rPr>
        <w:t>About Erasmus+</w:t>
      </w:r>
    </w:p>
    <w:p w14:paraId="6A27744D" w14:textId="77777777" w:rsidR="00A41E32" w:rsidRPr="00A41E32" w:rsidRDefault="00A41E32" w:rsidP="00A41E3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US"/>
        </w:rPr>
      </w:pPr>
      <w:r w:rsidRPr="00A41E32">
        <w:rPr>
          <w:rFonts w:asciiTheme="minorHAnsi" w:hAnsiTheme="minorHAnsi" w:cstheme="minorHAnsi"/>
          <w:color w:val="000000" w:themeColor="text1"/>
          <w:lang w:val="en-IN"/>
        </w:rPr>
        <w:t xml:space="preserve">The 'Erasmus Programme' is a student exchange programme from the European Union established in 1987. The rationale behind the programme was to foster mobility of students among the different EU Member States aiming at a better understanding of the cultural diversity in Europe and acquiring broader knowledge. </w:t>
      </w:r>
      <w:r w:rsidRPr="00A41E32"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What started thus as a programme to promote intra-mobility in the EU, expanded in 2004 to reach out to students from across the world (Erasmus+), allowing movement of students across EU borders and beyond. </w:t>
      </w:r>
    </w:p>
    <w:p w14:paraId="6D117BBE" w14:textId="77777777" w:rsidR="003F1702" w:rsidRPr="00A41E32" w:rsidRDefault="003F1702" w:rsidP="004062C7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US"/>
        </w:rPr>
      </w:pPr>
    </w:p>
    <w:p w14:paraId="56109C32" w14:textId="40BF62ED" w:rsidR="0093500B" w:rsidRPr="00A41E32" w:rsidRDefault="00053E9B" w:rsidP="00646375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IE"/>
        </w:rPr>
      </w:pPr>
      <w:r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Since 2014, Erasmus+ has </w:t>
      </w:r>
      <w:r w:rsidR="00805A38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only put more emphasis on </w:t>
      </w:r>
      <w:r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the need to boost internationalization</w:t>
      </w:r>
      <w:r w:rsidR="00805A38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of the program</w:t>
      </w:r>
      <w:r w:rsidR="00394E35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me</w:t>
      </w:r>
      <w:r w:rsidR="001C35A6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, and</w:t>
      </w:r>
      <w:r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India </w:t>
      </w:r>
      <w:r w:rsidR="001C35A6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has done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very well</w:t>
      </w:r>
      <w:r w:rsidR="00D42901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. In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2020, </w:t>
      </w:r>
      <w:r w:rsidR="00394E35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for example, 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134 students from India were selected for European Mundus Joint Masters</w:t>
      </w:r>
      <w:r w:rsidR="003F1702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Degree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, which is the highest from any third-world country</w:t>
      </w:r>
      <w:r w:rsidR="00394E35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. Several 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Indian organisations </w:t>
      </w:r>
      <w:r w:rsidR="0012127E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have also </w:t>
      </w:r>
      <w:r w:rsidR="0093500B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obtained support under the Jean Monnet action to promote European studies in India</w:t>
      </w:r>
      <w:r w:rsidR="00394E35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 and are part of consortia in Higher Education Capacity building </w:t>
      </w:r>
      <w:r w:rsidR="0057799F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project</w:t>
      </w:r>
      <w:r w:rsidR="00226876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s</w:t>
      </w:r>
      <w:r w:rsidR="0057799F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>.</w:t>
      </w:r>
    </w:p>
    <w:p w14:paraId="077FE7DA" w14:textId="77777777" w:rsidR="001C35A6" w:rsidRPr="00A41E32" w:rsidRDefault="001C35A6" w:rsidP="001C35A6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IE"/>
        </w:rPr>
      </w:pPr>
    </w:p>
    <w:p w14:paraId="241FD0A4" w14:textId="31908FF9" w:rsidR="005F27D2" w:rsidRPr="00A41E32" w:rsidRDefault="00394E35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IE"/>
        </w:rPr>
      </w:pPr>
      <w:r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The new Erasmus+ programme </w:t>
      </w:r>
      <w:r w:rsidR="005F27D2" w:rsidRPr="00A41E32">
        <w:rPr>
          <w:rFonts w:asciiTheme="minorHAnsi" w:eastAsia="+mn-ea" w:hAnsiTheme="minorHAnsi" w:cstheme="minorHAnsi"/>
          <w:color w:val="000000"/>
          <w:kern w:val="24"/>
          <w:lang w:val="en-IE"/>
        </w:rPr>
        <w:t xml:space="preserve">places a strong focus on social inclusion, the green and digital transitions, and promoting young people’s participation in democratic life. In the new programme, the international dimension of Erasmus+ will be further strengthened, building on the success of the existing key actions and expanding international to other sectors. </w:t>
      </w:r>
    </w:p>
    <w:p w14:paraId="11F01C53" w14:textId="4208CF20" w:rsidR="00C437A4" w:rsidRPr="00A41E32" w:rsidRDefault="00C437A4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IE"/>
        </w:rPr>
      </w:pPr>
    </w:p>
    <w:p w14:paraId="573F3BDF" w14:textId="54A6FB0E" w:rsidR="00226876" w:rsidRPr="00A41E32" w:rsidRDefault="00A41E32" w:rsidP="00226876">
      <w:p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The new Erasmus+ programme </w:t>
      </w:r>
      <w:r w:rsidR="00226876" w:rsidRPr="00A41E32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(2021-2027) has a total budget of €26.2 billion, compared with €14.7 billion for 2014-2020, which shows the importance the EU is attaching to Higher Education. </w:t>
      </w:r>
    </w:p>
    <w:p w14:paraId="66FEC7AE" w14:textId="77777777" w:rsidR="00226876" w:rsidRPr="00A41E32" w:rsidRDefault="00226876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US"/>
        </w:rPr>
      </w:pPr>
    </w:p>
    <w:p w14:paraId="14A4A1E7" w14:textId="6524125D" w:rsidR="00226876" w:rsidRDefault="00C437A4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</w:rPr>
      </w:pPr>
      <w:r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Erasmus+ allows for participation of </w:t>
      </w:r>
      <w:r w:rsidR="0001520C">
        <w:rPr>
          <w:rFonts w:asciiTheme="minorHAnsi" w:eastAsia="+mn-ea" w:hAnsiTheme="minorHAnsi" w:cstheme="minorHAnsi"/>
          <w:color w:val="000000"/>
          <w:kern w:val="24"/>
          <w:lang w:val="en-US"/>
        </w:rPr>
        <w:t>organisation</w:t>
      </w:r>
      <w:r w:rsidR="00F03D02"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s </w:t>
      </w:r>
      <w:r w:rsidR="00772330">
        <w:rPr>
          <w:rFonts w:asciiTheme="minorHAnsi" w:eastAsia="+mn-ea" w:hAnsiTheme="minorHAnsi" w:cstheme="minorHAnsi"/>
          <w:color w:val="000000"/>
          <w:kern w:val="24"/>
          <w:lang w:val="en-US"/>
        </w:rPr>
        <w:t>from</w:t>
      </w:r>
      <w:r w:rsidR="00F03D02"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 </w:t>
      </w:r>
      <w:r w:rsidR="002253CC">
        <w:rPr>
          <w:rFonts w:asciiTheme="minorHAnsi" w:eastAsia="+mn-ea" w:hAnsiTheme="minorHAnsi" w:cstheme="minorHAnsi"/>
          <w:color w:val="000000"/>
          <w:kern w:val="24"/>
          <w:lang w:val="en-US"/>
        </w:rPr>
        <w:t>Programme countries</w:t>
      </w:r>
      <w:r w:rsidR="00226876"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 (EU 27 Member States and associated countries) and all other countries in the world called Partner Countries. </w:t>
      </w:r>
      <w:r>
        <w:rPr>
          <w:rFonts w:asciiTheme="minorHAnsi" w:eastAsia="+mn-ea" w:hAnsiTheme="minorHAnsi" w:cstheme="minorHAnsi"/>
          <w:color w:val="000000"/>
          <w:kern w:val="24"/>
          <w:lang w:val="en-US"/>
        </w:rPr>
        <w:t>India</w:t>
      </w:r>
      <w:r w:rsidR="002253CC">
        <w:rPr>
          <w:rFonts w:asciiTheme="minorHAnsi" w:eastAsia="+mn-ea" w:hAnsiTheme="minorHAnsi" w:cstheme="minorHAnsi"/>
          <w:color w:val="000000"/>
          <w:kern w:val="24"/>
          <w:lang w:val="en-US"/>
        </w:rPr>
        <w:t xml:space="preserve"> </w:t>
      </w:r>
      <w:r w:rsidR="0012127E">
        <w:rPr>
          <w:rFonts w:asciiTheme="minorHAnsi" w:eastAsia="+mn-ea" w:hAnsiTheme="minorHAnsi" w:cstheme="minorHAnsi"/>
          <w:color w:val="000000"/>
          <w:kern w:val="24"/>
        </w:rPr>
        <w:t>is a Partner Country</w:t>
      </w:r>
      <w:r w:rsidR="00226876">
        <w:rPr>
          <w:rFonts w:asciiTheme="minorHAnsi" w:eastAsia="+mn-ea" w:hAnsiTheme="minorHAnsi" w:cstheme="minorHAnsi"/>
          <w:color w:val="000000"/>
          <w:kern w:val="24"/>
        </w:rPr>
        <w:t>.</w:t>
      </w:r>
    </w:p>
    <w:p w14:paraId="33E16AEE" w14:textId="69CFEA93" w:rsidR="002C0C83" w:rsidRDefault="002C0C83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</w:rPr>
      </w:pPr>
    </w:p>
    <w:p w14:paraId="495B2808" w14:textId="6E4CBDA5" w:rsidR="002C0C83" w:rsidRPr="004062C7" w:rsidRDefault="002C0C83" w:rsidP="002C0C83">
      <w:p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All support is on the basis of calls of proposals, published on regular basis.</w:t>
      </w:r>
    </w:p>
    <w:p w14:paraId="7FDFA6A4" w14:textId="22C447D6" w:rsidR="00226876" w:rsidRDefault="00226876" w:rsidP="00B96E72">
      <w:pPr>
        <w:pStyle w:val="NormalWeb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000000"/>
          <w:kern w:val="24"/>
          <w:lang w:val="en-US"/>
        </w:rPr>
      </w:pPr>
    </w:p>
    <w:p w14:paraId="0D59D2C1" w14:textId="30C72F0D" w:rsidR="00976FCA" w:rsidRPr="00B96E72" w:rsidRDefault="00976FCA" w:rsidP="00B96E72">
      <w:pPr>
        <w:jc w:val="both"/>
        <w:rPr>
          <w:rFonts w:eastAsia="+mn-ea" w:cstheme="minorHAnsi"/>
          <w:b/>
          <w:color w:val="000000"/>
          <w:kern w:val="24"/>
          <w:sz w:val="24"/>
          <w:szCs w:val="24"/>
          <w:lang w:val="en-US" w:eastAsia="en-GB"/>
        </w:rPr>
      </w:pPr>
      <w:r w:rsidRPr="00B96E72">
        <w:rPr>
          <w:rFonts w:eastAsia="+mn-ea" w:cstheme="minorHAnsi"/>
          <w:b/>
          <w:color w:val="000000"/>
          <w:kern w:val="24"/>
          <w:sz w:val="24"/>
          <w:szCs w:val="24"/>
          <w:lang w:val="en-US" w:eastAsia="en-GB"/>
        </w:rPr>
        <w:t xml:space="preserve">What’s in it for </w:t>
      </w:r>
      <w:r w:rsidR="0012216A">
        <w:rPr>
          <w:rFonts w:eastAsia="+mn-ea" w:cstheme="minorHAnsi"/>
          <w:b/>
          <w:color w:val="000000"/>
          <w:kern w:val="24"/>
          <w:sz w:val="24"/>
          <w:szCs w:val="24"/>
          <w:lang w:val="en-US" w:eastAsia="en-GB"/>
        </w:rPr>
        <w:t>India</w:t>
      </w:r>
      <w:r w:rsidRPr="00B96E72">
        <w:rPr>
          <w:rFonts w:eastAsia="+mn-ea" w:cstheme="minorHAnsi"/>
          <w:b/>
          <w:color w:val="000000"/>
          <w:kern w:val="24"/>
          <w:sz w:val="24"/>
          <w:szCs w:val="24"/>
          <w:lang w:val="en-US" w:eastAsia="en-GB"/>
        </w:rPr>
        <w:t>?</w:t>
      </w:r>
    </w:p>
    <w:p w14:paraId="49F6FD4B" w14:textId="408D64E4" w:rsidR="00976FCA" w:rsidRPr="004062C7" w:rsidRDefault="00976FCA" w:rsidP="00B96E72">
      <w:p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The programme is designed such that it offers opportunities for everyone, whether you are an individual or a higher education institution or a non-academic partner. </w:t>
      </w:r>
      <w:r w:rsidR="005F27D2"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It offers:</w:t>
      </w:r>
    </w:p>
    <w:p w14:paraId="454F255F" w14:textId="781375E6" w:rsidR="00C6177A" w:rsidRPr="004062C7" w:rsidRDefault="005F27D2" w:rsidP="00C6177A">
      <w:pPr>
        <w:pStyle w:val="ListParagraph"/>
        <w:numPr>
          <w:ilvl w:val="0"/>
          <w:numId w:val="1"/>
        </w:num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M</w:t>
      </w:r>
      <w:r w:rsidR="00C6177A"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obility and cooperation opportunities in higher education, vocational education and training and more.</w:t>
      </w:r>
    </w:p>
    <w:p w14:paraId="085995D1" w14:textId="74B0185A" w:rsidR="00C6177A" w:rsidRPr="004062C7" w:rsidRDefault="00C6177A" w:rsidP="00C6177A">
      <w:pPr>
        <w:numPr>
          <w:ilvl w:val="0"/>
          <w:numId w:val="1"/>
        </w:num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An opportunity </w:t>
      </w:r>
      <w:r w:rsidR="0057799F"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to engage with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 the best institutions in the 27 EU Member States plus six other countries outside the EU, called associated countries </w:t>
      </w:r>
      <w:r w:rsidR="0057799F"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(Iceland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, Liechtenstein, Norway, Serbia</w:t>
      </w:r>
      <w:r w:rsidR="00976FCA"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, North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 Macedonia and Turkey).</w:t>
      </w:r>
    </w:p>
    <w:p w14:paraId="6FD52068" w14:textId="2F2559DD" w:rsidR="00C6177A" w:rsidRDefault="00C6177A" w:rsidP="00C6177A">
      <w:pPr>
        <w:numPr>
          <w:ilvl w:val="0"/>
          <w:numId w:val="1"/>
        </w:numPr>
        <w:jc w:val="both"/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</w:pP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Funding to cover all costs associated to studying </w:t>
      </w:r>
      <w:r w:rsidR="0012216A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abroad 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and </w:t>
      </w:r>
      <w:r w:rsidR="00F03D02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exchange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 of</w:t>
      </w:r>
      <w:r w:rsidR="00F03D02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 </w:t>
      </w:r>
      <w:r w:rsidR="00DD61E8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higher education</w:t>
      </w:r>
      <w:r w:rsidR="00F03D02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 xml:space="preserve"> staff</w:t>
      </w:r>
      <w:r w:rsidRPr="004062C7">
        <w:rPr>
          <w:rFonts w:eastAsia="+mn-ea" w:cstheme="minorHAnsi"/>
          <w:color w:val="000000"/>
          <w:kern w:val="24"/>
          <w:sz w:val="24"/>
          <w:szCs w:val="24"/>
          <w:lang w:val="en-US" w:eastAsia="en-GB"/>
        </w:rPr>
        <w:t>.</w:t>
      </w:r>
    </w:p>
    <w:p w14:paraId="57B2F5DD" w14:textId="77777777" w:rsidR="00C6177A" w:rsidRPr="00C6177A" w:rsidRDefault="00C6177A" w:rsidP="009973A5">
      <w:pPr>
        <w:jc w:val="both"/>
      </w:pPr>
    </w:p>
    <w:tbl>
      <w:tblPr>
        <w:tblW w:w="15112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519"/>
        <w:gridCol w:w="2518"/>
        <w:gridCol w:w="2519"/>
        <w:gridCol w:w="2518"/>
        <w:gridCol w:w="2520"/>
      </w:tblGrid>
      <w:tr w:rsidR="00CD7C82" w:rsidRPr="00CD7C82" w14:paraId="7A823509" w14:textId="77777777" w:rsidTr="00436E02">
        <w:trPr>
          <w:trHeight w:val="198"/>
        </w:trPr>
        <w:tc>
          <w:tcPr>
            <w:tcW w:w="2518" w:type="dxa"/>
          </w:tcPr>
          <w:p w14:paraId="69890FD7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2519" w:type="dxa"/>
          </w:tcPr>
          <w:p w14:paraId="4A31AC82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</w:tcPr>
          <w:p w14:paraId="6EB3C54D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2519" w:type="dxa"/>
          </w:tcPr>
          <w:p w14:paraId="01A4FF28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2518" w:type="dxa"/>
          </w:tcPr>
          <w:p w14:paraId="31DD4F77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2520" w:type="dxa"/>
          </w:tcPr>
          <w:p w14:paraId="123E48F9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</w:tr>
      <w:tr w:rsidR="00CD7C82" w:rsidRPr="00CD7C82" w14:paraId="3E23A1F8" w14:textId="77777777" w:rsidTr="00436E02">
        <w:trPr>
          <w:trHeight w:val="471"/>
        </w:trPr>
        <w:tc>
          <w:tcPr>
            <w:tcW w:w="5037" w:type="dxa"/>
            <w:gridSpan w:val="2"/>
          </w:tcPr>
          <w:p w14:paraId="703981C8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5037" w:type="dxa"/>
            <w:gridSpan w:val="2"/>
          </w:tcPr>
          <w:p w14:paraId="6934C047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  <w:tc>
          <w:tcPr>
            <w:tcW w:w="5038" w:type="dxa"/>
            <w:gridSpan w:val="2"/>
          </w:tcPr>
          <w:p w14:paraId="27C14FEB" w14:textId="77777777" w:rsidR="00CD7C82" w:rsidRPr="00CD7C82" w:rsidRDefault="00CD7C82" w:rsidP="00CD7C82">
            <w:pPr>
              <w:autoSpaceDE w:val="0"/>
              <w:autoSpaceDN w:val="0"/>
              <w:adjustRightInd w:val="0"/>
              <w:spacing w:after="0" w:line="240" w:lineRule="auto"/>
              <w:rPr>
                <w:rFonts w:ascii="EC Square Sans Pro" w:hAnsi="EC Square Sans Pro" w:cs="EC Square Sans Pro"/>
                <w:color w:val="000000"/>
                <w:sz w:val="16"/>
                <w:szCs w:val="16"/>
              </w:rPr>
            </w:pPr>
          </w:p>
        </w:tc>
      </w:tr>
    </w:tbl>
    <w:p w14:paraId="5B7113FD" w14:textId="569DFE39" w:rsidR="0092023E" w:rsidRPr="00D25E23" w:rsidRDefault="0092023E" w:rsidP="00C87B69">
      <w:pPr>
        <w:jc w:val="both"/>
        <w:rPr>
          <w:sz w:val="24"/>
        </w:rPr>
      </w:pPr>
    </w:p>
    <w:sectPr w:rsidR="0092023E" w:rsidRPr="00D25E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 Square Sans Cond Pro">
    <w:altName w:val="EC Square Sans Con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EC Square Sans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4431"/>
    <w:multiLevelType w:val="multilevel"/>
    <w:tmpl w:val="85F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BE" w:vendorID="64" w:dllVersion="131078" w:nlCheck="1" w:checkStyle="0"/>
  <w:activeWritingStyle w:appName="MSWord" w:lang="en-GB" w:vendorID="64" w:dllVersion="131078" w:nlCheck="1" w:checkStyle="1"/>
  <w:activeWritingStyle w:appName="MSWord" w:lang="en-IE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D25E23"/>
    <w:rsid w:val="0000668B"/>
    <w:rsid w:val="0001520C"/>
    <w:rsid w:val="00053E9B"/>
    <w:rsid w:val="0005409D"/>
    <w:rsid w:val="000A1185"/>
    <w:rsid w:val="0012127E"/>
    <w:rsid w:val="00121BB7"/>
    <w:rsid w:val="0012216A"/>
    <w:rsid w:val="0015772B"/>
    <w:rsid w:val="00161818"/>
    <w:rsid w:val="00186F5A"/>
    <w:rsid w:val="00197FAE"/>
    <w:rsid w:val="001C35A6"/>
    <w:rsid w:val="002253CC"/>
    <w:rsid w:val="00226876"/>
    <w:rsid w:val="0027216D"/>
    <w:rsid w:val="002915B6"/>
    <w:rsid w:val="002C0C83"/>
    <w:rsid w:val="002D7205"/>
    <w:rsid w:val="002E0BE2"/>
    <w:rsid w:val="002F5232"/>
    <w:rsid w:val="00316FEF"/>
    <w:rsid w:val="003425CD"/>
    <w:rsid w:val="00374D76"/>
    <w:rsid w:val="00377E71"/>
    <w:rsid w:val="00394E35"/>
    <w:rsid w:val="003F1702"/>
    <w:rsid w:val="004062C7"/>
    <w:rsid w:val="00436E02"/>
    <w:rsid w:val="00443914"/>
    <w:rsid w:val="00460582"/>
    <w:rsid w:val="00493EE1"/>
    <w:rsid w:val="004F2E73"/>
    <w:rsid w:val="00526CA0"/>
    <w:rsid w:val="0057799F"/>
    <w:rsid w:val="00577C2A"/>
    <w:rsid w:val="00587DFF"/>
    <w:rsid w:val="005C3C81"/>
    <w:rsid w:val="005E617A"/>
    <w:rsid w:val="005F27D2"/>
    <w:rsid w:val="005F5568"/>
    <w:rsid w:val="006106BD"/>
    <w:rsid w:val="00622B47"/>
    <w:rsid w:val="00646375"/>
    <w:rsid w:val="00650521"/>
    <w:rsid w:val="00670503"/>
    <w:rsid w:val="006909E2"/>
    <w:rsid w:val="00696FA3"/>
    <w:rsid w:val="007035B6"/>
    <w:rsid w:val="00772330"/>
    <w:rsid w:val="00773F05"/>
    <w:rsid w:val="00787F19"/>
    <w:rsid w:val="007C6ADF"/>
    <w:rsid w:val="007E34E1"/>
    <w:rsid w:val="007E3FED"/>
    <w:rsid w:val="00805A38"/>
    <w:rsid w:val="00836BDC"/>
    <w:rsid w:val="00855E8F"/>
    <w:rsid w:val="008900DD"/>
    <w:rsid w:val="008A6793"/>
    <w:rsid w:val="0092023E"/>
    <w:rsid w:val="00930038"/>
    <w:rsid w:val="0093500B"/>
    <w:rsid w:val="00962B6B"/>
    <w:rsid w:val="009679B5"/>
    <w:rsid w:val="00976FCA"/>
    <w:rsid w:val="009925EA"/>
    <w:rsid w:val="009973A5"/>
    <w:rsid w:val="009F0615"/>
    <w:rsid w:val="009F5BF6"/>
    <w:rsid w:val="00A07D38"/>
    <w:rsid w:val="00A41E32"/>
    <w:rsid w:val="00A715E3"/>
    <w:rsid w:val="00B000FA"/>
    <w:rsid w:val="00B2730B"/>
    <w:rsid w:val="00B72811"/>
    <w:rsid w:val="00B83BD7"/>
    <w:rsid w:val="00B91140"/>
    <w:rsid w:val="00B96E72"/>
    <w:rsid w:val="00BE30DA"/>
    <w:rsid w:val="00BF7829"/>
    <w:rsid w:val="00C41DA1"/>
    <w:rsid w:val="00C437A4"/>
    <w:rsid w:val="00C6177A"/>
    <w:rsid w:val="00C84997"/>
    <w:rsid w:val="00C87B69"/>
    <w:rsid w:val="00C95003"/>
    <w:rsid w:val="00CC5A72"/>
    <w:rsid w:val="00CC6B9F"/>
    <w:rsid w:val="00CD4F83"/>
    <w:rsid w:val="00CD7C82"/>
    <w:rsid w:val="00CE6287"/>
    <w:rsid w:val="00D25E23"/>
    <w:rsid w:val="00D42901"/>
    <w:rsid w:val="00DA27EF"/>
    <w:rsid w:val="00DD61E8"/>
    <w:rsid w:val="00DF1800"/>
    <w:rsid w:val="00E672B7"/>
    <w:rsid w:val="00E75418"/>
    <w:rsid w:val="00E912D9"/>
    <w:rsid w:val="00EC4FEF"/>
    <w:rsid w:val="00EE18A8"/>
    <w:rsid w:val="00F03D02"/>
    <w:rsid w:val="00F26DB7"/>
    <w:rsid w:val="00F402C4"/>
    <w:rsid w:val="00F807F2"/>
    <w:rsid w:val="00F82C8E"/>
    <w:rsid w:val="00F96AA6"/>
    <w:rsid w:val="00FB2CB8"/>
    <w:rsid w:val="00F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72DC7"/>
  <w15:chartTrackingRefBased/>
  <w15:docId w15:val="{311F6FCD-B7C4-4C7F-8C89-A42EE047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CD7C82"/>
    <w:pPr>
      <w:autoSpaceDE w:val="0"/>
      <w:autoSpaceDN w:val="0"/>
      <w:adjustRightInd w:val="0"/>
      <w:spacing w:after="0" w:line="240" w:lineRule="auto"/>
    </w:pPr>
    <w:rPr>
      <w:rFonts w:ascii="EC Square Sans Cond Pro" w:hAnsi="EC Square Sans Cond Pro" w:cs="EC Square Sans Cond Pro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54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1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27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1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8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8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8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80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8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A679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6463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portal/screen/opportunities/topic-details/erasmus-jmo-2021-chair;callCode=null;freeTextSearchKeyword=jean%20monnet;matchWholeText=true;typeCodes=1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info/funding-tenders/opportunities/portal/screen/opportunities/topic-details/erasmus-jmo-2021-module;callCode=null;freeTextSearchKeyword=jean%20monnet;matchWholeText=true;typeCodes=1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2" Type="http://schemas.openxmlformats.org/officeDocument/2006/relationships/hyperlink" Target="mailto:DELEGATION-INDIA-HE@eeas.europ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funding-tenders/opportunities/portal/screen/opportunities/topic-details/erasmus-edu-2021-emjm-design;callCode=null;freeTextSearchKeyword=Erasmus%2B;matchWholeText=true;typeCodes=1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1" Type="http://schemas.openxmlformats.org/officeDocument/2006/relationships/hyperlink" Target="https://www.eacea.ec.europa.eu/grants/2021-2027_en" TargetMode="External"/><Relationship Id="rId5" Type="http://schemas.openxmlformats.org/officeDocument/2006/relationships/hyperlink" Target="https://ec.europa.eu/info/funding-tenders/opportunities/portal/screen/opportunities/topic-details/erasmus-edu-2021-pex-emjm-mob;callCode=null;freeTextSearchKeyword=Erasmus%2B;matchWholeText=true;typeCodes=1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0" Type="http://schemas.openxmlformats.org/officeDocument/2006/relationships/hyperlink" Target="https://ec.europa.eu/programmes/erasmus-plus/node_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info/funding-tenders/opportunities/portal/screen/opportunities/topic-details/erasmus-jmo-2021-coe;callCode=null;freeTextSearchKeyword=jean%20monnet;matchWholeText=true;typeCodes=1;statusCodes=31094501,31094502,31094503;programmePeriod=null;programCcm2Id=null;programDivisionCode=null;focusAreaCode=null;destination=null;mission=null;geographicalZonesCode=null;programmeDivisionProspect=null;startDateLte=null;startDateGte=null;crossCuttingPriorityCode=null;cpvCode=null;performanceOfDelivery=null;sortQuery=sortStatus;orderBy=asc;onlyTenders=false;topicListKey=topicSearchTablePageStat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BIHANI Kinchit (EEAS-NEW DELHI)</dc:creator>
  <cp:keywords/>
  <dc:description/>
  <cp:lastModifiedBy>FRIEDERICHS Tania (EEAS-NEW DELHI)</cp:lastModifiedBy>
  <cp:revision>2</cp:revision>
  <dcterms:created xsi:type="dcterms:W3CDTF">2021-04-22T10:09:00Z</dcterms:created>
  <dcterms:modified xsi:type="dcterms:W3CDTF">2021-04-22T10:09:00Z</dcterms:modified>
</cp:coreProperties>
</file>