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A692" w14:textId="419211E4" w:rsidR="003C3B35" w:rsidRDefault="00FB4289">
      <w:pPr>
        <w:pStyle w:val="Title"/>
      </w:pPr>
      <w:r>
        <w:t>Note de cadrage:</w:t>
      </w:r>
    </w:p>
    <w:p w14:paraId="1BC5321F" w14:textId="21968F12" w:rsidR="0030116C" w:rsidRDefault="0030116C">
      <w:pPr>
        <w:pStyle w:val="Title"/>
      </w:pPr>
      <w:r w:rsidRPr="0030116C">
        <w:t>NDICI AFRICA/2023/045-218 (EC)</w:t>
      </w:r>
    </w:p>
    <w:p w14:paraId="32401EC2" w14:textId="5B804DA9" w:rsidR="003C3B35" w:rsidRDefault="009D1EFA">
      <w:pPr>
        <w:pStyle w:val="Title"/>
        <w:ind w:right="753"/>
      </w:pPr>
      <w:r w:rsidRPr="009D1EFA">
        <w:rPr>
          <w:spacing w:val="-2"/>
        </w:rPr>
        <w:t>Programme de promotion de la culture démocratique et renforcement de l’état de droit</w:t>
      </w:r>
    </w:p>
    <w:p w14:paraId="60E8CBB8" w14:textId="77777777" w:rsidR="003C3B35" w:rsidRDefault="003C3B35">
      <w:pPr>
        <w:pStyle w:val="BodyText"/>
        <w:rPr>
          <w:b/>
          <w:sz w:val="32"/>
        </w:rPr>
      </w:pPr>
    </w:p>
    <w:p w14:paraId="5DDC4A7A" w14:textId="77777777" w:rsidR="003C3B35" w:rsidRDefault="003C3B35">
      <w:pPr>
        <w:pStyle w:val="BodyText"/>
        <w:rPr>
          <w:b/>
          <w:sz w:val="32"/>
        </w:rPr>
      </w:pPr>
    </w:p>
    <w:p w14:paraId="67221517" w14:textId="77777777" w:rsidR="003C3B35" w:rsidRDefault="003C3B35">
      <w:pPr>
        <w:pStyle w:val="BodyText"/>
        <w:rPr>
          <w:b/>
          <w:sz w:val="32"/>
        </w:rPr>
      </w:pPr>
    </w:p>
    <w:sdt>
      <w:sdtPr>
        <w:rPr>
          <w:rFonts w:ascii="Times New Roman" w:eastAsia="Times New Roman" w:hAnsi="Times New Roman" w:cs="Times New Roman"/>
          <w:b w:val="0"/>
          <w:bCs w:val="0"/>
          <w:color w:val="auto"/>
          <w:sz w:val="22"/>
          <w:szCs w:val="22"/>
        </w:rPr>
        <w:id w:val="83769517"/>
        <w:docPartObj>
          <w:docPartGallery w:val="Table of Contents"/>
          <w:docPartUnique/>
        </w:docPartObj>
      </w:sdtPr>
      <w:sdtEndPr/>
      <w:sdtContent>
        <w:p w14:paraId="21900D57" w14:textId="77777777" w:rsidR="001435E5" w:rsidRPr="00516696" w:rsidRDefault="001435E5">
          <w:pPr>
            <w:pStyle w:val="TOCHeading"/>
            <w:rPr>
              <w:color w:val="auto"/>
            </w:rPr>
          </w:pPr>
          <w:r w:rsidRPr="00516696">
            <w:rPr>
              <w:color w:val="auto"/>
            </w:rPr>
            <w:t>Sommaire</w:t>
          </w:r>
          <w:bookmarkStart w:id="0" w:name="_GoBack"/>
          <w:bookmarkEnd w:id="0"/>
        </w:p>
        <w:p w14:paraId="28FDB646" w14:textId="7783DBAD" w:rsidR="00BD23B2" w:rsidRDefault="00797586">
          <w:pPr>
            <w:pStyle w:val="TOC1"/>
            <w:tabs>
              <w:tab w:val="left" w:pos="440"/>
              <w:tab w:val="right" w:leader="dot" w:pos="9394"/>
            </w:tabs>
            <w:rPr>
              <w:rFonts w:asciiTheme="minorHAnsi" w:eastAsiaTheme="minorEastAsia" w:hAnsiTheme="minorHAnsi" w:cstheme="minorBidi"/>
              <w:noProof/>
              <w:lang w:val="en-GB" w:eastAsia="en-GB"/>
            </w:rPr>
          </w:pPr>
          <w:r>
            <w:fldChar w:fldCharType="begin"/>
          </w:r>
          <w:r w:rsidR="001435E5">
            <w:instrText xml:space="preserve"> TOC \o "1-3" \h \z \u </w:instrText>
          </w:r>
          <w:r>
            <w:fldChar w:fldCharType="separate"/>
          </w:r>
          <w:hyperlink w:anchor="_Toc151566921" w:history="1">
            <w:r w:rsidR="00BD23B2" w:rsidRPr="00EC29BC">
              <w:rPr>
                <w:rStyle w:val="Hyperlink"/>
                <w:noProof/>
                <w:lang w:val="fr-BE"/>
              </w:rPr>
              <w:t>1.</w:t>
            </w:r>
            <w:r w:rsidR="00BD23B2">
              <w:rPr>
                <w:rFonts w:asciiTheme="minorHAnsi" w:eastAsiaTheme="minorEastAsia" w:hAnsiTheme="minorHAnsi" w:cstheme="minorBidi"/>
                <w:noProof/>
                <w:lang w:val="en-GB" w:eastAsia="en-GB"/>
              </w:rPr>
              <w:tab/>
            </w:r>
            <w:r w:rsidR="00BD23B2" w:rsidRPr="00EC29BC">
              <w:rPr>
                <w:rStyle w:val="Hyperlink"/>
                <w:noProof/>
                <w:lang w:val="fr-BE"/>
              </w:rPr>
              <w:t>Contexte et justification</w:t>
            </w:r>
            <w:r w:rsidR="00BD23B2">
              <w:rPr>
                <w:noProof/>
                <w:webHidden/>
              </w:rPr>
              <w:tab/>
            </w:r>
            <w:r w:rsidR="00BD23B2">
              <w:rPr>
                <w:noProof/>
                <w:webHidden/>
              </w:rPr>
              <w:fldChar w:fldCharType="begin"/>
            </w:r>
            <w:r w:rsidR="00BD23B2">
              <w:rPr>
                <w:noProof/>
                <w:webHidden/>
              </w:rPr>
              <w:instrText xml:space="preserve"> PAGEREF _Toc151566921 \h </w:instrText>
            </w:r>
            <w:r w:rsidR="00BD23B2">
              <w:rPr>
                <w:noProof/>
                <w:webHidden/>
              </w:rPr>
            </w:r>
            <w:r w:rsidR="00BD23B2">
              <w:rPr>
                <w:noProof/>
                <w:webHidden/>
              </w:rPr>
              <w:fldChar w:fldCharType="separate"/>
            </w:r>
            <w:r w:rsidR="00BD23B2">
              <w:rPr>
                <w:noProof/>
                <w:webHidden/>
              </w:rPr>
              <w:t>2</w:t>
            </w:r>
            <w:r w:rsidR="00BD23B2">
              <w:rPr>
                <w:noProof/>
                <w:webHidden/>
              </w:rPr>
              <w:fldChar w:fldCharType="end"/>
            </w:r>
          </w:hyperlink>
        </w:p>
        <w:p w14:paraId="1EAA616E" w14:textId="6A67D347" w:rsidR="00BD23B2" w:rsidRDefault="002957EF">
          <w:pPr>
            <w:pStyle w:val="TOC1"/>
            <w:tabs>
              <w:tab w:val="left" w:pos="440"/>
              <w:tab w:val="right" w:leader="dot" w:pos="9394"/>
            </w:tabs>
            <w:rPr>
              <w:rFonts w:asciiTheme="minorHAnsi" w:eastAsiaTheme="minorEastAsia" w:hAnsiTheme="minorHAnsi" w:cstheme="minorBidi"/>
              <w:noProof/>
              <w:lang w:val="en-GB" w:eastAsia="en-GB"/>
            </w:rPr>
          </w:pPr>
          <w:hyperlink w:anchor="_Toc151566924" w:history="1">
            <w:r w:rsidR="00BD23B2" w:rsidRPr="00EC29BC">
              <w:rPr>
                <w:rStyle w:val="Hyperlink"/>
                <w:noProof/>
                <w:lang w:val="fr-BE"/>
              </w:rPr>
              <w:t>2.</w:t>
            </w:r>
            <w:r w:rsidR="00BD23B2">
              <w:rPr>
                <w:rFonts w:asciiTheme="minorHAnsi" w:eastAsiaTheme="minorEastAsia" w:hAnsiTheme="minorHAnsi" w:cstheme="minorBidi"/>
                <w:noProof/>
                <w:lang w:val="en-GB" w:eastAsia="en-GB"/>
              </w:rPr>
              <w:tab/>
            </w:r>
            <w:r w:rsidR="00516696">
              <w:rPr>
                <w:rStyle w:val="Hyperlink"/>
                <w:noProof/>
                <w:lang w:val="fr-BE"/>
              </w:rPr>
              <w:t>Orientations générales</w:t>
            </w:r>
            <w:r w:rsidR="00BD23B2">
              <w:rPr>
                <w:noProof/>
                <w:webHidden/>
              </w:rPr>
              <w:tab/>
            </w:r>
            <w:r w:rsidR="004F4B7C">
              <w:rPr>
                <w:noProof/>
                <w:webHidden/>
              </w:rPr>
              <w:t>3</w:t>
            </w:r>
          </w:hyperlink>
        </w:p>
        <w:p w14:paraId="7924163D" w14:textId="77D252D1" w:rsidR="00BD23B2" w:rsidRDefault="002957EF" w:rsidP="00481906">
          <w:pPr>
            <w:pStyle w:val="TOC2"/>
            <w:rPr>
              <w:rFonts w:asciiTheme="minorHAnsi" w:eastAsiaTheme="minorEastAsia" w:hAnsiTheme="minorHAnsi" w:cstheme="minorBidi"/>
              <w:noProof/>
              <w:lang w:val="en-GB" w:eastAsia="en-GB"/>
            </w:rPr>
          </w:pPr>
          <w:hyperlink w:anchor="_Toc151566932" w:history="1">
            <w:r w:rsidR="00BD23B2" w:rsidRPr="00EC29BC">
              <w:rPr>
                <w:rStyle w:val="Hyperlink"/>
                <w:noProof/>
              </w:rPr>
              <w:t>3.</w:t>
            </w:r>
            <w:r w:rsidR="00516696">
              <w:rPr>
                <w:rFonts w:asciiTheme="minorHAnsi" w:eastAsiaTheme="minorEastAsia" w:hAnsiTheme="minorHAnsi" w:cstheme="minorBidi"/>
                <w:noProof/>
                <w:lang w:val="en-GB" w:eastAsia="en-GB"/>
              </w:rPr>
              <w:t xml:space="preserve">     </w:t>
            </w:r>
            <w:r w:rsidR="0093778B">
              <w:rPr>
                <w:rStyle w:val="Hyperlink"/>
                <w:noProof/>
              </w:rPr>
              <w:t>Logique d’intervention</w:t>
            </w:r>
            <w:r w:rsidR="00BD23B2">
              <w:rPr>
                <w:noProof/>
                <w:webHidden/>
              </w:rPr>
              <w:tab/>
            </w:r>
          </w:hyperlink>
          <w:r w:rsidR="00481906">
            <w:rPr>
              <w:noProof/>
            </w:rPr>
            <w:t>6</w:t>
          </w:r>
        </w:p>
        <w:p w14:paraId="29FD6AE2" w14:textId="37D33029" w:rsidR="00BD23B2" w:rsidRDefault="002957EF" w:rsidP="00481906">
          <w:pPr>
            <w:pStyle w:val="TOC2"/>
            <w:rPr>
              <w:rFonts w:asciiTheme="minorHAnsi" w:eastAsiaTheme="minorEastAsia" w:hAnsiTheme="minorHAnsi" w:cstheme="minorBidi"/>
              <w:noProof/>
              <w:lang w:val="en-GB" w:eastAsia="en-GB"/>
            </w:rPr>
          </w:pPr>
          <w:hyperlink w:anchor="_Toc151566935" w:history="1">
            <w:r w:rsidR="00B46F6F">
              <w:rPr>
                <w:rStyle w:val="Hyperlink"/>
                <w:noProof/>
              </w:rPr>
              <w:t>4</w:t>
            </w:r>
            <w:r w:rsidR="00BD23B2" w:rsidRPr="00EC29BC">
              <w:rPr>
                <w:rStyle w:val="Hyperlink"/>
                <w:noProof/>
              </w:rPr>
              <w:t>.</w:t>
            </w:r>
            <w:r w:rsidR="00B46F6F">
              <w:rPr>
                <w:rStyle w:val="Hyperlink"/>
                <w:noProof/>
              </w:rPr>
              <w:t xml:space="preserve">    </w:t>
            </w:r>
            <w:r w:rsidR="00BD23B2" w:rsidRPr="00EC29BC">
              <w:rPr>
                <w:rStyle w:val="Hyperlink"/>
                <w:noProof/>
              </w:rPr>
              <w:t>Parties prenantes</w:t>
            </w:r>
            <w:r w:rsidR="00BD23B2">
              <w:rPr>
                <w:noProof/>
                <w:webHidden/>
              </w:rPr>
              <w:tab/>
            </w:r>
          </w:hyperlink>
          <w:r w:rsidR="00481906">
            <w:rPr>
              <w:noProof/>
            </w:rPr>
            <w:t>7</w:t>
          </w:r>
        </w:p>
        <w:p w14:paraId="79FA3A2A" w14:textId="335735DC" w:rsidR="00BD23B2" w:rsidRDefault="00AD0FC6" w:rsidP="00481906">
          <w:pPr>
            <w:pStyle w:val="TOC2"/>
            <w:rPr>
              <w:rFonts w:asciiTheme="minorHAnsi" w:eastAsiaTheme="minorEastAsia" w:hAnsiTheme="minorHAnsi" w:cstheme="minorBidi"/>
              <w:noProof/>
              <w:lang w:val="en-GB" w:eastAsia="en-GB"/>
            </w:rPr>
          </w:pPr>
          <w:r>
            <w:t xml:space="preserve">5.     </w:t>
          </w:r>
          <w:hyperlink w:anchor="_Toc151566936" w:history="1">
            <w:r w:rsidR="00BD23B2" w:rsidRPr="00EC29BC">
              <w:rPr>
                <w:rStyle w:val="Hyperlink"/>
                <w:noProof/>
              </w:rPr>
              <w:t>Questions transversales</w:t>
            </w:r>
            <w:r w:rsidR="00BD23B2">
              <w:rPr>
                <w:noProof/>
                <w:webHidden/>
              </w:rPr>
              <w:tab/>
            </w:r>
          </w:hyperlink>
          <w:r w:rsidR="00481906">
            <w:rPr>
              <w:noProof/>
            </w:rPr>
            <w:t>8</w:t>
          </w:r>
        </w:p>
        <w:p w14:paraId="12B535D9" w14:textId="7D2F8281" w:rsidR="00BD23B2" w:rsidRDefault="002957EF" w:rsidP="00481906">
          <w:pPr>
            <w:pStyle w:val="TOC2"/>
            <w:rPr>
              <w:rFonts w:asciiTheme="minorHAnsi" w:eastAsiaTheme="minorEastAsia" w:hAnsiTheme="minorHAnsi" w:cstheme="minorBidi"/>
              <w:noProof/>
              <w:lang w:val="en-GB" w:eastAsia="en-GB"/>
            </w:rPr>
          </w:pPr>
          <w:hyperlink w:anchor="_Toc151566938" w:history="1">
            <w:r w:rsidR="004F4B7C">
              <w:rPr>
                <w:rStyle w:val="Hyperlink"/>
                <w:noProof/>
              </w:rPr>
              <w:t>6</w:t>
            </w:r>
            <w:r w:rsidR="00BD23B2" w:rsidRPr="00EC29BC">
              <w:rPr>
                <w:rStyle w:val="Hyperlink"/>
                <w:noProof/>
              </w:rPr>
              <w:t>.</w:t>
            </w:r>
            <w:r w:rsidR="00BD23B2">
              <w:rPr>
                <w:rFonts w:asciiTheme="minorHAnsi" w:eastAsiaTheme="minorEastAsia" w:hAnsiTheme="minorHAnsi" w:cstheme="minorBidi"/>
                <w:noProof/>
                <w:lang w:val="en-GB" w:eastAsia="en-GB"/>
              </w:rPr>
              <w:tab/>
            </w:r>
            <w:r w:rsidR="00BD23B2" w:rsidRPr="00EC29BC">
              <w:rPr>
                <w:rStyle w:val="Hyperlink"/>
                <w:noProof/>
              </w:rPr>
              <w:t>Suivi et évaluation</w:t>
            </w:r>
            <w:r w:rsidR="00BD23B2">
              <w:rPr>
                <w:noProof/>
                <w:webHidden/>
              </w:rPr>
              <w:tab/>
            </w:r>
          </w:hyperlink>
          <w:r w:rsidR="00C72555">
            <w:rPr>
              <w:noProof/>
            </w:rPr>
            <w:t>10</w:t>
          </w:r>
        </w:p>
        <w:p w14:paraId="2DA9F96C" w14:textId="77777777" w:rsidR="004F4B7C" w:rsidRDefault="004F4B7C" w:rsidP="00481906">
          <w:pPr>
            <w:pStyle w:val="TOC2"/>
          </w:pPr>
        </w:p>
        <w:p w14:paraId="7BDDAE09" w14:textId="20A8B1C9" w:rsidR="00BD23B2" w:rsidRDefault="002957EF" w:rsidP="00481906">
          <w:pPr>
            <w:pStyle w:val="TOC2"/>
            <w:rPr>
              <w:rFonts w:asciiTheme="minorHAnsi" w:eastAsiaTheme="minorEastAsia" w:hAnsiTheme="minorHAnsi" w:cstheme="minorBidi"/>
              <w:noProof/>
              <w:lang w:val="en-GB" w:eastAsia="en-GB"/>
            </w:rPr>
          </w:pPr>
          <w:hyperlink w:anchor="_Toc151566941" w:history="1">
            <w:r w:rsidR="00BD23B2" w:rsidRPr="00EC29BC">
              <w:rPr>
                <w:rStyle w:val="Hyperlink"/>
                <w:noProof/>
              </w:rPr>
              <w:t>Annexe</w:t>
            </w:r>
            <w:r w:rsidR="00BD23B2" w:rsidRPr="00EC29BC">
              <w:rPr>
                <w:rStyle w:val="Hyperlink"/>
                <w:noProof/>
                <w:spacing w:val="3"/>
              </w:rPr>
              <w:t xml:space="preserve"> </w:t>
            </w:r>
            <w:r w:rsidR="00BD23B2" w:rsidRPr="00EC29BC">
              <w:rPr>
                <w:rStyle w:val="Hyperlink"/>
                <w:noProof/>
              </w:rPr>
              <w:t>1</w:t>
            </w:r>
            <w:r w:rsidR="00BD23B2" w:rsidRPr="00EC29BC">
              <w:rPr>
                <w:rStyle w:val="Hyperlink"/>
                <w:noProof/>
                <w:spacing w:val="8"/>
              </w:rPr>
              <w:t xml:space="preserve"> </w:t>
            </w:r>
            <w:r w:rsidR="00BD23B2" w:rsidRPr="00EC29BC">
              <w:rPr>
                <w:rStyle w:val="Hyperlink"/>
                <w:noProof/>
              </w:rPr>
              <w:t>:</w:t>
            </w:r>
            <w:r w:rsidR="00BD23B2" w:rsidRPr="00EC29BC">
              <w:rPr>
                <w:rStyle w:val="Hyperlink"/>
                <w:noProof/>
                <w:spacing w:val="11"/>
              </w:rPr>
              <w:t xml:space="preserve"> </w:t>
            </w:r>
            <w:r w:rsidR="00BD23B2" w:rsidRPr="00EC29BC">
              <w:rPr>
                <w:rStyle w:val="Hyperlink"/>
                <w:noProof/>
              </w:rPr>
              <w:t>Cadre</w:t>
            </w:r>
            <w:r w:rsidR="00BD23B2" w:rsidRPr="00EC29BC">
              <w:rPr>
                <w:rStyle w:val="Hyperlink"/>
                <w:noProof/>
                <w:spacing w:val="3"/>
              </w:rPr>
              <w:t xml:space="preserve"> </w:t>
            </w:r>
            <w:r w:rsidR="00BD23B2" w:rsidRPr="00EC29BC">
              <w:rPr>
                <w:rStyle w:val="Hyperlink"/>
                <w:noProof/>
              </w:rPr>
              <w:t>logique</w:t>
            </w:r>
            <w:r w:rsidR="00BD23B2">
              <w:rPr>
                <w:noProof/>
                <w:webHidden/>
              </w:rPr>
              <w:tab/>
            </w:r>
            <w:r w:rsidR="00AB2B27">
              <w:rPr>
                <w:noProof/>
                <w:webHidden/>
              </w:rPr>
              <w:t>11</w:t>
            </w:r>
          </w:hyperlink>
        </w:p>
        <w:p w14:paraId="2FCA7CBA" w14:textId="058C331B" w:rsidR="001435E5" w:rsidRDefault="00797586">
          <w:r>
            <w:fldChar w:fldCharType="end"/>
          </w:r>
        </w:p>
      </w:sdtContent>
    </w:sdt>
    <w:p w14:paraId="061FA951" w14:textId="77777777" w:rsidR="003C3B35" w:rsidRDefault="003C3B35">
      <w:pPr>
        <w:sectPr w:rsidR="003C3B35" w:rsidSect="00F5548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23" w:right="1418" w:bottom="278" w:left="1418" w:header="658" w:footer="720" w:gutter="0"/>
          <w:pgNumType w:start="1"/>
          <w:cols w:space="720"/>
        </w:sectPr>
      </w:pPr>
    </w:p>
    <w:p w14:paraId="0A03E30A" w14:textId="2D3FD822" w:rsidR="00F27C13" w:rsidRPr="004B3C7E" w:rsidRDefault="00F27C13" w:rsidP="00F85AFB">
      <w:pPr>
        <w:pStyle w:val="Heading1"/>
        <w:widowControl/>
        <w:numPr>
          <w:ilvl w:val="0"/>
          <w:numId w:val="15"/>
        </w:numPr>
        <w:autoSpaceDE/>
        <w:autoSpaceDN/>
        <w:spacing w:before="360" w:after="120" w:line="276" w:lineRule="auto"/>
        <w:rPr>
          <w:rFonts w:ascii="Times New Roman" w:hAnsi="Times New Roman" w:cs="Times New Roman"/>
          <w:color w:val="auto"/>
          <w:lang w:val="fr-BE"/>
        </w:rPr>
      </w:pPr>
      <w:bookmarkStart w:id="1" w:name="_Toc151566921"/>
      <w:r w:rsidRPr="004B3C7E">
        <w:rPr>
          <w:rFonts w:ascii="Times New Roman" w:hAnsi="Times New Roman" w:cs="Times New Roman"/>
          <w:color w:val="auto"/>
          <w:lang w:val="fr-BE"/>
        </w:rPr>
        <w:lastRenderedPageBreak/>
        <w:t>Contexte et justification</w:t>
      </w:r>
      <w:bookmarkEnd w:id="1"/>
    </w:p>
    <w:p w14:paraId="74BCB292" w14:textId="4D15D169" w:rsidR="00516815" w:rsidRPr="00516696" w:rsidRDefault="00516815" w:rsidP="00516815">
      <w:pPr>
        <w:pStyle w:val="Default"/>
        <w:jc w:val="both"/>
        <w:rPr>
          <w:rFonts w:ascii="Times New Roman" w:hAnsi="Times New Roman" w:cs="Times New Roman"/>
          <w:color w:val="auto"/>
          <w:w w:val="105"/>
          <w:lang w:val="fr-FR"/>
        </w:rPr>
      </w:pPr>
      <w:r w:rsidRPr="00516696">
        <w:rPr>
          <w:rFonts w:ascii="Times New Roman" w:hAnsi="Times New Roman" w:cs="Times New Roman"/>
          <w:color w:val="auto"/>
          <w:w w:val="105"/>
          <w:lang w:val="fr-FR"/>
        </w:rPr>
        <w:t>Le Burundi est un pays enclavé d’Afrique de l’Est fort d’une population d’environ 12.2 millions d’habitants dont environ 50.6 % sont des jeunes de moins de 15 ans. Le pays est membre de la Communauté de l’Afrique de l’Est (EAC). Il est classé parmi les trois pays les plus pauvres au monde. On estime que 80% de la population travaille dans le secteur agricole, celui-ci étant très peu performant.</w:t>
      </w:r>
    </w:p>
    <w:p w14:paraId="6A4F148B" w14:textId="4296D56D" w:rsidR="00516815" w:rsidRDefault="00516815" w:rsidP="00516815">
      <w:pPr>
        <w:pStyle w:val="Default"/>
        <w:jc w:val="both"/>
        <w:rPr>
          <w:rFonts w:ascii="Times New Roman" w:hAnsi="Times New Roman" w:cs="Times New Roman"/>
          <w:color w:val="auto"/>
          <w:w w:val="105"/>
          <w:lang w:val="fr-FR"/>
        </w:rPr>
      </w:pPr>
      <w:r w:rsidRPr="00516696">
        <w:rPr>
          <w:rFonts w:ascii="Times New Roman" w:hAnsi="Times New Roman" w:cs="Times New Roman"/>
          <w:color w:val="auto"/>
          <w:w w:val="105"/>
          <w:lang w:val="fr-FR"/>
        </w:rPr>
        <w:t xml:space="preserve">Le </w:t>
      </w:r>
      <w:r w:rsidR="00B6424B">
        <w:rPr>
          <w:rFonts w:ascii="Times New Roman" w:hAnsi="Times New Roman" w:cs="Times New Roman"/>
          <w:color w:val="auto"/>
          <w:w w:val="105"/>
          <w:lang w:val="fr-FR"/>
        </w:rPr>
        <w:t xml:space="preserve">PIB par habitant est </w:t>
      </w:r>
      <w:r w:rsidR="00B6424B" w:rsidRPr="00E83F36">
        <w:rPr>
          <w:rFonts w:ascii="Times New Roman" w:hAnsi="Times New Roman" w:cs="Times New Roman"/>
          <w:color w:val="auto"/>
          <w:w w:val="105"/>
          <w:lang w:val="fr-FR"/>
        </w:rPr>
        <w:t xml:space="preserve">de </w:t>
      </w:r>
      <w:r w:rsidR="00E83F36" w:rsidRPr="00E83F36">
        <w:rPr>
          <w:rFonts w:ascii="Times New Roman" w:hAnsi="Times New Roman" w:cs="Times New Roman"/>
          <w:lang w:val="fr-BE"/>
        </w:rPr>
        <w:t>269 USD (FMI Octobre 2022)</w:t>
      </w:r>
      <w:r w:rsidR="00E83F36" w:rsidRPr="00E83F36">
        <w:rPr>
          <w:rStyle w:val="FootnoteReference"/>
          <w:rFonts w:ascii="Times New Roman" w:hAnsi="Times New Roman" w:cs="Times New Roman"/>
        </w:rPr>
        <w:footnoteReference w:id="2"/>
      </w:r>
      <w:r w:rsidR="00E83F36" w:rsidRPr="00B82BCE">
        <w:rPr>
          <w:rFonts w:ascii="Times New Roman" w:hAnsi="Times New Roman"/>
          <w:lang w:val="fr-BE"/>
        </w:rPr>
        <w:t>,</w:t>
      </w:r>
      <w:r w:rsidRPr="00516696">
        <w:rPr>
          <w:rFonts w:ascii="Times New Roman" w:hAnsi="Times New Roman" w:cs="Times New Roman"/>
          <w:color w:val="auto"/>
          <w:w w:val="105"/>
          <w:lang w:val="fr-FR"/>
        </w:rPr>
        <w:t xml:space="preserve"> ce qui fait du Burundi un des pays les plus pauvres du continent africain mais aussi un des plus vulnérables. Plus de deux tiers de la population vit en-dessous du seuil de la pauvreté. La majorité des habitants souffrent de malnutrition.</w:t>
      </w:r>
    </w:p>
    <w:p w14:paraId="76D408BC" w14:textId="5109D218" w:rsidR="00516815" w:rsidRDefault="00516815" w:rsidP="00516815">
      <w:pPr>
        <w:pStyle w:val="Default"/>
        <w:jc w:val="both"/>
        <w:rPr>
          <w:rFonts w:ascii="Times New Roman" w:hAnsi="Times New Roman" w:cs="Times New Roman"/>
          <w:color w:val="auto"/>
          <w:w w:val="105"/>
          <w:lang w:val="fr-FR"/>
        </w:rPr>
      </w:pPr>
      <w:r w:rsidRPr="00516696">
        <w:rPr>
          <w:rFonts w:ascii="Times New Roman" w:hAnsi="Times New Roman" w:cs="Times New Roman"/>
          <w:color w:val="auto"/>
          <w:w w:val="105"/>
          <w:lang w:val="fr-FR"/>
        </w:rPr>
        <w:t>Le Burundi est l’un des pays à plus haute densité de population avec un ratio de densité de 442hab/km2 (projection démographique 2020) et est caractérisé par une croissance démographique importante, ce qui représente un frein à son développement économique alors que les jeunes en milieu rural sont particulièrement touchés par le chômage.</w:t>
      </w:r>
    </w:p>
    <w:p w14:paraId="3F60183F" w14:textId="04544675" w:rsidR="00516815" w:rsidRDefault="00516815" w:rsidP="00516815">
      <w:pPr>
        <w:pStyle w:val="Default"/>
        <w:jc w:val="both"/>
        <w:rPr>
          <w:rFonts w:ascii="Times New Roman" w:hAnsi="Times New Roman" w:cs="Times New Roman"/>
          <w:color w:val="auto"/>
          <w:w w:val="105"/>
          <w:lang w:val="fr-FR"/>
        </w:rPr>
      </w:pPr>
      <w:r w:rsidRPr="00516696">
        <w:rPr>
          <w:rFonts w:ascii="Times New Roman" w:hAnsi="Times New Roman" w:cs="Times New Roman"/>
          <w:color w:val="auto"/>
          <w:w w:val="105"/>
          <w:lang w:val="fr-FR"/>
        </w:rPr>
        <w:t>La fragilité du pays et son instabilité politique ont été alimentées par des années de conflits armées particulièrement violents. Ces dernières années, les problèmes politiques que traverse le pays sont aggravés par des conflits liés à l’accès à la propriété foncière mais aussi par le manque de devises alors que les opérateurs économiques et les entreprises ne trouvent plus les devises dont elles ont besoin pour payer les fournisseurs des matières premières et des équipements.</w:t>
      </w:r>
    </w:p>
    <w:p w14:paraId="275AF4BD" w14:textId="77777777" w:rsidR="00904C2A" w:rsidRPr="00516696" w:rsidRDefault="00904C2A" w:rsidP="00516815">
      <w:pPr>
        <w:pStyle w:val="Default"/>
        <w:jc w:val="both"/>
        <w:rPr>
          <w:rFonts w:ascii="Times New Roman" w:hAnsi="Times New Roman" w:cs="Times New Roman"/>
          <w:color w:val="auto"/>
          <w:w w:val="105"/>
          <w:lang w:val="fr-FR"/>
        </w:rPr>
      </w:pPr>
    </w:p>
    <w:p w14:paraId="648EFDC7" w14:textId="55CB32BC" w:rsidR="00516815" w:rsidRPr="00904C2A" w:rsidRDefault="00516815" w:rsidP="00516815">
      <w:pPr>
        <w:pStyle w:val="Default"/>
        <w:jc w:val="both"/>
        <w:rPr>
          <w:rFonts w:ascii="Times New Roman" w:hAnsi="Times New Roman" w:cs="Times New Roman"/>
          <w:b/>
          <w:color w:val="auto"/>
          <w:w w:val="105"/>
          <w:lang w:val="fr-FR"/>
        </w:rPr>
      </w:pPr>
      <w:r w:rsidRPr="00904C2A">
        <w:rPr>
          <w:rFonts w:ascii="Times New Roman" w:hAnsi="Times New Roman" w:cs="Times New Roman"/>
          <w:b/>
          <w:color w:val="auto"/>
          <w:w w:val="105"/>
          <w:lang w:val="fr-FR"/>
        </w:rPr>
        <w:t xml:space="preserve">Le Plan National de Développement </w:t>
      </w:r>
    </w:p>
    <w:p w14:paraId="66584576" w14:textId="77777777" w:rsidR="00516815" w:rsidRPr="00516696" w:rsidRDefault="00516815" w:rsidP="00516815">
      <w:pPr>
        <w:pStyle w:val="Default"/>
        <w:jc w:val="both"/>
        <w:rPr>
          <w:rFonts w:ascii="Times New Roman" w:hAnsi="Times New Roman" w:cs="Times New Roman"/>
          <w:color w:val="auto"/>
          <w:w w:val="105"/>
          <w:lang w:val="fr-FR"/>
        </w:rPr>
      </w:pPr>
      <w:r w:rsidRPr="00516696">
        <w:rPr>
          <w:rFonts w:ascii="Times New Roman" w:hAnsi="Times New Roman" w:cs="Times New Roman"/>
          <w:color w:val="auto"/>
          <w:w w:val="105"/>
          <w:lang w:val="fr-FR"/>
        </w:rPr>
        <w:t>C’est dans ce contexte que le Burundi a lancé en août 2018 le Plan national de développement 2018-2027 (</w:t>
      </w:r>
      <w:proofErr w:type="spellStart"/>
      <w:r w:rsidRPr="00516696">
        <w:rPr>
          <w:rFonts w:ascii="Times New Roman" w:hAnsi="Times New Roman" w:cs="Times New Roman"/>
          <w:color w:val="auto"/>
          <w:w w:val="105"/>
          <w:lang w:val="fr-FR"/>
        </w:rPr>
        <w:t>PND</w:t>
      </w:r>
      <w:proofErr w:type="spellEnd"/>
      <w:r w:rsidRPr="00516696">
        <w:rPr>
          <w:rFonts w:ascii="Times New Roman" w:hAnsi="Times New Roman" w:cs="Times New Roman"/>
          <w:color w:val="auto"/>
          <w:w w:val="105"/>
          <w:lang w:val="fr-FR"/>
        </w:rPr>
        <w:t xml:space="preserve">) et son plan quinquennal d’actions prioritaires. Malgré ses faiblesses, entre autres des prévisions de croissance trop ambitieuses et l’absence d’une analyse des risques, le </w:t>
      </w:r>
      <w:proofErr w:type="spellStart"/>
      <w:r w:rsidRPr="00516696">
        <w:rPr>
          <w:rFonts w:ascii="Times New Roman" w:hAnsi="Times New Roman" w:cs="Times New Roman"/>
          <w:color w:val="auto"/>
          <w:w w:val="105"/>
          <w:lang w:val="fr-FR"/>
        </w:rPr>
        <w:t>PND</w:t>
      </w:r>
      <w:proofErr w:type="spellEnd"/>
      <w:r w:rsidRPr="00516696">
        <w:rPr>
          <w:rFonts w:ascii="Times New Roman" w:hAnsi="Times New Roman" w:cs="Times New Roman"/>
          <w:color w:val="auto"/>
          <w:w w:val="105"/>
          <w:lang w:val="fr-FR"/>
        </w:rPr>
        <w:t xml:space="preserve"> est le principal document de référence pour les partenaires techniques et financiers (</w:t>
      </w:r>
      <w:proofErr w:type="spellStart"/>
      <w:r w:rsidRPr="00516696">
        <w:rPr>
          <w:rFonts w:ascii="Times New Roman" w:hAnsi="Times New Roman" w:cs="Times New Roman"/>
          <w:color w:val="auto"/>
          <w:w w:val="105"/>
          <w:lang w:val="fr-FR"/>
        </w:rPr>
        <w:t>PTF</w:t>
      </w:r>
      <w:proofErr w:type="spellEnd"/>
      <w:r w:rsidRPr="00516696">
        <w:rPr>
          <w:rFonts w:ascii="Times New Roman" w:hAnsi="Times New Roman" w:cs="Times New Roman"/>
          <w:color w:val="auto"/>
          <w:w w:val="105"/>
          <w:lang w:val="fr-FR"/>
        </w:rPr>
        <w:t xml:space="preserve">) en matière de stratégie de développement du pays. À travers le </w:t>
      </w:r>
      <w:proofErr w:type="spellStart"/>
      <w:r w:rsidRPr="00516696">
        <w:rPr>
          <w:rFonts w:ascii="Times New Roman" w:hAnsi="Times New Roman" w:cs="Times New Roman"/>
          <w:color w:val="auto"/>
          <w:w w:val="105"/>
          <w:lang w:val="fr-FR"/>
        </w:rPr>
        <w:t>PND</w:t>
      </w:r>
      <w:proofErr w:type="spellEnd"/>
      <w:r w:rsidRPr="00516696">
        <w:rPr>
          <w:rFonts w:ascii="Times New Roman" w:hAnsi="Times New Roman" w:cs="Times New Roman"/>
          <w:color w:val="auto"/>
          <w:w w:val="105"/>
          <w:lang w:val="fr-FR"/>
        </w:rPr>
        <w:t xml:space="preserve"> 2018-2027, le pays se donne pour ambition de lutter contre la corruption, d’améliorer la gouvernance locale, les droits humains et de consolider la démocratie. Parmi les axes d’intervention et objectifs pour l’orientation stratégique du </w:t>
      </w:r>
      <w:proofErr w:type="spellStart"/>
      <w:r w:rsidRPr="00516696">
        <w:rPr>
          <w:rFonts w:ascii="Times New Roman" w:hAnsi="Times New Roman" w:cs="Times New Roman"/>
          <w:color w:val="auto"/>
          <w:w w:val="105"/>
          <w:lang w:val="fr-FR"/>
        </w:rPr>
        <w:t>PND</w:t>
      </w:r>
      <w:proofErr w:type="spellEnd"/>
      <w:r w:rsidRPr="00516696">
        <w:rPr>
          <w:rFonts w:ascii="Times New Roman" w:hAnsi="Times New Roman" w:cs="Times New Roman"/>
          <w:color w:val="auto"/>
          <w:w w:val="105"/>
          <w:lang w:val="fr-FR"/>
        </w:rPr>
        <w:t>, cette action s’inscrit à la fois sous l’axe 13 « Gouvernance » et l’axe 14 « Sécurité et défense ».</w:t>
      </w:r>
    </w:p>
    <w:p w14:paraId="4AA68F1B" w14:textId="77777777" w:rsidR="00516815" w:rsidRPr="00516696" w:rsidRDefault="00516815" w:rsidP="00516815">
      <w:pPr>
        <w:pStyle w:val="Default"/>
        <w:jc w:val="both"/>
        <w:rPr>
          <w:rFonts w:ascii="Times New Roman" w:hAnsi="Times New Roman" w:cs="Times New Roman"/>
          <w:color w:val="auto"/>
          <w:w w:val="105"/>
          <w:lang w:val="fr-FR"/>
        </w:rPr>
      </w:pPr>
    </w:p>
    <w:p w14:paraId="3A0357BA" w14:textId="6F271D93" w:rsidR="00C70F16" w:rsidRPr="00516696" w:rsidRDefault="0018409A" w:rsidP="00516815">
      <w:pPr>
        <w:pStyle w:val="Default"/>
        <w:jc w:val="both"/>
        <w:rPr>
          <w:rFonts w:ascii="Times New Roman" w:hAnsi="Times New Roman" w:cs="Times New Roman"/>
          <w:lang w:val="fr-FR"/>
        </w:rPr>
      </w:pPr>
      <w:r w:rsidRPr="00516696">
        <w:rPr>
          <w:rFonts w:ascii="Times New Roman" w:hAnsi="Times New Roman" w:cs="Times New Roman"/>
          <w:b/>
          <w:lang w:val="fr-FR"/>
        </w:rPr>
        <w:t>Développem</w:t>
      </w:r>
      <w:r w:rsidR="007402AB" w:rsidRPr="00516696">
        <w:rPr>
          <w:rFonts w:ascii="Times New Roman" w:hAnsi="Times New Roman" w:cs="Times New Roman"/>
          <w:b/>
          <w:lang w:val="fr-FR"/>
        </w:rPr>
        <w:t>ent humain et fragilité du pays</w:t>
      </w:r>
    </w:p>
    <w:p w14:paraId="67CF63F7" w14:textId="4E136668" w:rsidR="0018409A" w:rsidRDefault="009E202B" w:rsidP="009E202B">
      <w:pPr>
        <w:spacing w:before="36"/>
        <w:ind w:right="111"/>
        <w:jc w:val="both"/>
        <w:rPr>
          <w:sz w:val="24"/>
          <w:szCs w:val="24"/>
        </w:rPr>
      </w:pPr>
      <w:r w:rsidRPr="00516696">
        <w:rPr>
          <w:sz w:val="24"/>
          <w:szCs w:val="24"/>
        </w:rPr>
        <w:t xml:space="preserve">Selon le Global </w:t>
      </w:r>
      <w:proofErr w:type="spellStart"/>
      <w:r w:rsidRPr="00516696">
        <w:rPr>
          <w:sz w:val="24"/>
          <w:szCs w:val="24"/>
        </w:rPr>
        <w:t>Conflict</w:t>
      </w:r>
      <w:proofErr w:type="spellEnd"/>
      <w:r w:rsidRPr="00516696">
        <w:rPr>
          <w:sz w:val="24"/>
          <w:szCs w:val="24"/>
        </w:rPr>
        <w:t xml:space="preserve"> </w:t>
      </w:r>
      <w:proofErr w:type="spellStart"/>
      <w:r w:rsidRPr="00516696">
        <w:rPr>
          <w:sz w:val="24"/>
          <w:szCs w:val="24"/>
        </w:rPr>
        <w:t>Risk</w:t>
      </w:r>
      <w:proofErr w:type="spellEnd"/>
      <w:r w:rsidRPr="00516696">
        <w:rPr>
          <w:sz w:val="24"/>
          <w:szCs w:val="24"/>
        </w:rPr>
        <w:t xml:space="preserve"> Index (</w:t>
      </w:r>
      <w:proofErr w:type="spellStart"/>
      <w:r w:rsidRPr="00516696">
        <w:rPr>
          <w:sz w:val="24"/>
          <w:szCs w:val="24"/>
        </w:rPr>
        <w:t>GCRI</w:t>
      </w:r>
      <w:proofErr w:type="spellEnd"/>
      <w:r w:rsidRPr="00516696">
        <w:rPr>
          <w:sz w:val="24"/>
          <w:szCs w:val="24"/>
        </w:rPr>
        <w:t>) de la Banque Mondiale, le profil particulièreme</w:t>
      </w:r>
      <w:r w:rsidR="00E83F36">
        <w:rPr>
          <w:sz w:val="24"/>
          <w:szCs w:val="24"/>
        </w:rPr>
        <w:t>nt fragile du Burundi est passé</w:t>
      </w:r>
      <w:r w:rsidRPr="00516696">
        <w:rPr>
          <w:sz w:val="24"/>
          <w:szCs w:val="24"/>
        </w:rPr>
        <w:t xml:space="preserve"> ces dernières années d’une situation de conflit d’intensité moyenne à un pays caractérisé par une extrême fragilité institutionnelle, socio-économique et environnementale. </w:t>
      </w:r>
      <w:r w:rsidR="007402AB" w:rsidRPr="00516696">
        <w:rPr>
          <w:sz w:val="24"/>
          <w:szCs w:val="24"/>
        </w:rPr>
        <w:t xml:space="preserve">Le Burundi </w:t>
      </w:r>
      <w:r w:rsidRPr="00516696">
        <w:rPr>
          <w:sz w:val="24"/>
          <w:szCs w:val="24"/>
        </w:rPr>
        <w:t>est</w:t>
      </w:r>
      <w:r w:rsidR="007402AB" w:rsidRPr="00516696">
        <w:rPr>
          <w:sz w:val="24"/>
          <w:szCs w:val="24"/>
        </w:rPr>
        <w:t xml:space="preserve"> </w:t>
      </w:r>
      <w:r w:rsidR="003D2ACB" w:rsidRPr="00516696">
        <w:rPr>
          <w:sz w:val="24"/>
          <w:szCs w:val="24"/>
        </w:rPr>
        <w:t>l’</w:t>
      </w:r>
      <w:r w:rsidR="007402AB" w:rsidRPr="00516696">
        <w:rPr>
          <w:sz w:val="24"/>
          <w:szCs w:val="24"/>
        </w:rPr>
        <w:t>un des pays les moins avancés du monde</w:t>
      </w:r>
      <w:r w:rsidRPr="00516696">
        <w:rPr>
          <w:sz w:val="24"/>
          <w:szCs w:val="24"/>
        </w:rPr>
        <w:t xml:space="preserve"> et</w:t>
      </w:r>
      <w:r w:rsidR="007402AB" w:rsidRPr="00516696">
        <w:rPr>
          <w:sz w:val="24"/>
          <w:szCs w:val="24"/>
        </w:rPr>
        <w:t xml:space="preserve"> est classé en 187ème</w:t>
      </w:r>
      <w:r w:rsidR="00C64555" w:rsidRPr="00516696">
        <w:rPr>
          <w:sz w:val="24"/>
          <w:szCs w:val="24"/>
        </w:rPr>
        <w:t xml:space="preserve"> </w:t>
      </w:r>
      <w:r w:rsidR="007402AB" w:rsidRPr="00516696">
        <w:rPr>
          <w:sz w:val="24"/>
          <w:szCs w:val="24"/>
        </w:rPr>
        <w:t xml:space="preserve">position </w:t>
      </w:r>
      <w:r w:rsidR="003D2ACB" w:rsidRPr="00516696">
        <w:rPr>
          <w:sz w:val="24"/>
          <w:szCs w:val="24"/>
        </w:rPr>
        <w:t>de l’indice de développement humain (PNUD-</w:t>
      </w:r>
      <w:proofErr w:type="spellStart"/>
      <w:r w:rsidR="003D2ACB" w:rsidRPr="00516696">
        <w:rPr>
          <w:sz w:val="24"/>
          <w:szCs w:val="24"/>
        </w:rPr>
        <w:t>IDH</w:t>
      </w:r>
      <w:proofErr w:type="spellEnd"/>
      <w:r w:rsidR="003D2ACB" w:rsidRPr="00516696">
        <w:rPr>
          <w:sz w:val="24"/>
          <w:szCs w:val="24"/>
        </w:rPr>
        <w:t xml:space="preserve"> 2021-2022)</w:t>
      </w:r>
      <w:r w:rsidR="007402AB" w:rsidRPr="00516696">
        <w:rPr>
          <w:sz w:val="24"/>
          <w:szCs w:val="24"/>
        </w:rPr>
        <w:t xml:space="preserve">. </w:t>
      </w:r>
      <w:r w:rsidRPr="00516696">
        <w:rPr>
          <w:sz w:val="24"/>
          <w:szCs w:val="24"/>
        </w:rPr>
        <w:t xml:space="preserve"> Il est par ailleurs situé en </w:t>
      </w:r>
      <w:r w:rsidR="00184C25" w:rsidRPr="00516696">
        <w:rPr>
          <w:sz w:val="24"/>
          <w:szCs w:val="24"/>
        </w:rPr>
        <w:t>43</w:t>
      </w:r>
      <w:r w:rsidRPr="00516696">
        <w:rPr>
          <w:sz w:val="24"/>
          <w:szCs w:val="24"/>
        </w:rPr>
        <w:t>ème</w:t>
      </w:r>
      <w:r w:rsidR="00C64555" w:rsidRPr="00516696">
        <w:rPr>
          <w:sz w:val="24"/>
          <w:szCs w:val="24"/>
        </w:rPr>
        <w:t xml:space="preserve"> </w:t>
      </w:r>
      <w:r w:rsidRPr="00516696">
        <w:rPr>
          <w:sz w:val="24"/>
          <w:szCs w:val="24"/>
        </w:rPr>
        <w:t>position sur 54 pays africain par l’Ibrahim Index (</w:t>
      </w:r>
      <w:r w:rsidR="00184C25" w:rsidRPr="00516696">
        <w:rPr>
          <w:sz w:val="24"/>
          <w:szCs w:val="24"/>
        </w:rPr>
        <w:t>2022</w:t>
      </w:r>
      <w:r w:rsidRPr="00516696">
        <w:rPr>
          <w:sz w:val="24"/>
          <w:szCs w:val="24"/>
        </w:rPr>
        <w:t xml:space="preserve">) du fait des faiblesses de l’État de droit et l’étroitesse de l’espace politique, et au </w:t>
      </w:r>
      <w:r w:rsidR="00184C25" w:rsidRPr="00516696">
        <w:rPr>
          <w:sz w:val="24"/>
          <w:szCs w:val="24"/>
        </w:rPr>
        <w:t>171</w:t>
      </w:r>
      <w:r w:rsidRPr="00516696">
        <w:rPr>
          <w:sz w:val="24"/>
          <w:szCs w:val="24"/>
        </w:rPr>
        <w:t>ème</w:t>
      </w:r>
      <w:r w:rsidR="00C64555" w:rsidRPr="00516696">
        <w:rPr>
          <w:sz w:val="24"/>
          <w:szCs w:val="24"/>
        </w:rPr>
        <w:t xml:space="preserve"> </w:t>
      </w:r>
      <w:r w:rsidRPr="00516696">
        <w:rPr>
          <w:sz w:val="24"/>
          <w:szCs w:val="24"/>
        </w:rPr>
        <w:t>rang sur 180 pays dans l’indice de perception de la corruption (</w:t>
      </w:r>
      <w:r w:rsidR="00184C25" w:rsidRPr="00516696">
        <w:rPr>
          <w:sz w:val="24"/>
          <w:szCs w:val="24"/>
        </w:rPr>
        <w:t>2022</w:t>
      </w:r>
      <w:r w:rsidRPr="00516696">
        <w:rPr>
          <w:sz w:val="24"/>
          <w:szCs w:val="24"/>
        </w:rPr>
        <w:t xml:space="preserve">) de </w:t>
      </w:r>
      <w:proofErr w:type="spellStart"/>
      <w:r w:rsidRPr="00516696">
        <w:rPr>
          <w:sz w:val="24"/>
          <w:szCs w:val="24"/>
        </w:rPr>
        <w:t>Transparency</w:t>
      </w:r>
      <w:proofErr w:type="spellEnd"/>
      <w:r w:rsidRPr="00516696">
        <w:rPr>
          <w:sz w:val="24"/>
          <w:szCs w:val="24"/>
        </w:rPr>
        <w:t xml:space="preserve"> International.</w:t>
      </w:r>
    </w:p>
    <w:p w14:paraId="76D30AE4" w14:textId="1C2DC85D" w:rsidR="00F32FD6" w:rsidRPr="00B82BCE" w:rsidRDefault="00F32FD6" w:rsidP="00B82BCE">
      <w:pPr>
        <w:pStyle w:val="Default"/>
        <w:jc w:val="both"/>
        <w:rPr>
          <w:w w:val="105"/>
          <w:lang w:val="fr-BE"/>
        </w:rPr>
      </w:pPr>
    </w:p>
    <w:p w14:paraId="275A1A90" w14:textId="784057CA" w:rsidR="00F32FD6" w:rsidRPr="00516696" w:rsidRDefault="00D73807" w:rsidP="00F32FD6">
      <w:pPr>
        <w:pStyle w:val="Default"/>
        <w:jc w:val="both"/>
        <w:rPr>
          <w:rFonts w:ascii="Times New Roman" w:hAnsi="Times New Roman" w:cs="Times New Roman"/>
          <w:b/>
          <w:lang w:val="fr-FR"/>
        </w:rPr>
      </w:pPr>
      <w:r w:rsidRPr="00516696">
        <w:rPr>
          <w:rFonts w:ascii="Times New Roman" w:hAnsi="Times New Roman" w:cs="Times New Roman"/>
          <w:b/>
          <w:lang w:val="fr-FR"/>
        </w:rPr>
        <w:t>Economie, p</w:t>
      </w:r>
      <w:r w:rsidR="0018409A" w:rsidRPr="00516696">
        <w:rPr>
          <w:rFonts w:ascii="Times New Roman" w:hAnsi="Times New Roman" w:cs="Times New Roman"/>
          <w:b/>
          <w:lang w:val="fr-FR"/>
        </w:rPr>
        <w:t>auvreté et croissance démographique</w:t>
      </w:r>
    </w:p>
    <w:p w14:paraId="5AE562B9" w14:textId="7BBE27FF" w:rsidR="00EA3444" w:rsidRPr="00516696" w:rsidRDefault="00EA3444" w:rsidP="001A0E85">
      <w:pPr>
        <w:spacing w:before="36" w:after="60"/>
        <w:ind w:right="113"/>
        <w:jc w:val="both"/>
        <w:rPr>
          <w:sz w:val="24"/>
          <w:szCs w:val="24"/>
        </w:rPr>
      </w:pPr>
      <w:r w:rsidRPr="00516696">
        <w:rPr>
          <w:sz w:val="24"/>
          <w:szCs w:val="24"/>
        </w:rPr>
        <w:t>L’économie burundaise</w:t>
      </w:r>
      <w:r w:rsidR="006B5844" w:rsidRPr="00516696">
        <w:rPr>
          <w:sz w:val="24"/>
          <w:szCs w:val="24"/>
        </w:rPr>
        <w:t xml:space="preserve"> est</w:t>
      </w:r>
      <w:r w:rsidRPr="00516696">
        <w:rPr>
          <w:sz w:val="24"/>
          <w:szCs w:val="24"/>
        </w:rPr>
        <w:t xml:space="preserve"> très peu diversifiée et repose quasi-exclusivement sur l'agriculture et sur l'exportation de quelques produits agricoles de rente (café et thé).</w:t>
      </w:r>
    </w:p>
    <w:p w14:paraId="0EBE5BE5" w14:textId="594C78D3" w:rsidR="00324EB5" w:rsidRPr="00516696" w:rsidRDefault="00F67957" w:rsidP="001A0E85">
      <w:pPr>
        <w:spacing w:before="36" w:after="60"/>
        <w:ind w:right="113"/>
        <w:jc w:val="both"/>
        <w:rPr>
          <w:sz w:val="24"/>
          <w:szCs w:val="24"/>
        </w:rPr>
      </w:pPr>
      <w:r w:rsidRPr="00516696">
        <w:rPr>
          <w:sz w:val="24"/>
          <w:szCs w:val="24"/>
        </w:rPr>
        <w:t>Avec un Produit Intérieur Brut (PIB) par habitant de 269 USD (FMI Octobre 2022)</w:t>
      </w:r>
      <w:r w:rsidR="001B3777" w:rsidRPr="00516696">
        <w:rPr>
          <w:rStyle w:val="FootnoteReference"/>
          <w:sz w:val="24"/>
          <w:szCs w:val="24"/>
        </w:rPr>
        <w:footnoteReference w:id="3"/>
      </w:r>
      <w:r w:rsidRPr="00516696">
        <w:rPr>
          <w:sz w:val="24"/>
          <w:szCs w:val="24"/>
        </w:rPr>
        <w:t>, le Burundi est</w:t>
      </w:r>
      <w:r w:rsidR="00466B67" w:rsidRPr="00516696">
        <w:rPr>
          <w:sz w:val="24"/>
          <w:szCs w:val="24"/>
        </w:rPr>
        <w:t xml:space="preserve">, depuis </w:t>
      </w:r>
      <w:r w:rsidR="00791682" w:rsidRPr="00516696">
        <w:rPr>
          <w:sz w:val="24"/>
          <w:szCs w:val="24"/>
        </w:rPr>
        <w:t>2022</w:t>
      </w:r>
      <w:r w:rsidR="00466B67" w:rsidRPr="00516696">
        <w:rPr>
          <w:sz w:val="24"/>
          <w:szCs w:val="24"/>
        </w:rPr>
        <w:t>,</w:t>
      </w:r>
      <w:r w:rsidRPr="00516696">
        <w:rPr>
          <w:sz w:val="24"/>
          <w:szCs w:val="24"/>
        </w:rPr>
        <w:t xml:space="preserve"> le pays le plus pauvre au monde</w:t>
      </w:r>
      <w:r w:rsidR="00466B67" w:rsidRPr="00516696">
        <w:rPr>
          <w:sz w:val="24"/>
          <w:szCs w:val="24"/>
        </w:rPr>
        <w:t xml:space="preserve"> selon ce critère</w:t>
      </w:r>
      <w:r w:rsidR="00C93C5E" w:rsidRPr="00516696">
        <w:rPr>
          <w:rStyle w:val="FootnoteReference"/>
          <w:sz w:val="24"/>
          <w:szCs w:val="24"/>
        </w:rPr>
        <w:footnoteReference w:id="4"/>
      </w:r>
      <w:r w:rsidR="00466B67" w:rsidRPr="00516696">
        <w:rPr>
          <w:sz w:val="24"/>
          <w:szCs w:val="24"/>
        </w:rPr>
        <w:t>.</w:t>
      </w:r>
      <w:r w:rsidRPr="00516696">
        <w:rPr>
          <w:sz w:val="24"/>
          <w:szCs w:val="24"/>
        </w:rPr>
        <w:t xml:space="preserve"> </w:t>
      </w:r>
      <w:r w:rsidR="00466B67" w:rsidRPr="00516696">
        <w:rPr>
          <w:sz w:val="24"/>
          <w:szCs w:val="24"/>
        </w:rPr>
        <w:t>P</w:t>
      </w:r>
      <w:r w:rsidRPr="00516696">
        <w:rPr>
          <w:sz w:val="24"/>
          <w:szCs w:val="24"/>
        </w:rPr>
        <w:t>rès de 85% de la population vit en dessous du seuil de pauvreté</w:t>
      </w:r>
      <w:r w:rsidRPr="00516696">
        <w:rPr>
          <w:sz w:val="24"/>
          <w:szCs w:val="24"/>
        </w:rPr>
        <w:footnoteReference w:id="5"/>
      </w:r>
      <w:r w:rsidRPr="00516696">
        <w:rPr>
          <w:sz w:val="24"/>
          <w:szCs w:val="24"/>
        </w:rPr>
        <w:t xml:space="preserve">. </w:t>
      </w:r>
      <w:r w:rsidR="00957A07" w:rsidRPr="00516696">
        <w:rPr>
          <w:sz w:val="24"/>
          <w:szCs w:val="24"/>
        </w:rPr>
        <w:t>L</w:t>
      </w:r>
      <w:r w:rsidR="00E83F36">
        <w:rPr>
          <w:sz w:val="24"/>
          <w:szCs w:val="24"/>
        </w:rPr>
        <w:t>’économie b</w:t>
      </w:r>
      <w:r w:rsidR="007360B7" w:rsidRPr="00516696">
        <w:rPr>
          <w:sz w:val="24"/>
          <w:szCs w:val="24"/>
        </w:rPr>
        <w:t xml:space="preserve">urundaise </w:t>
      </w:r>
      <w:r w:rsidR="00957A07" w:rsidRPr="00516696">
        <w:rPr>
          <w:sz w:val="24"/>
          <w:szCs w:val="24"/>
        </w:rPr>
        <w:t>est</w:t>
      </w:r>
      <w:r w:rsidR="007360B7" w:rsidRPr="00516696">
        <w:rPr>
          <w:sz w:val="24"/>
          <w:szCs w:val="24"/>
        </w:rPr>
        <w:t xml:space="preserve"> </w:t>
      </w:r>
      <w:r w:rsidR="00791682" w:rsidRPr="00516696">
        <w:rPr>
          <w:sz w:val="24"/>
          <w:szCs w:val="24"/>
        </w:rPr>
        <w:t>très</w:t>
      </w:r>
      <w:r w:rsidR="007360B7" w:rsidRPr="00516696">
        <w:rPr>
          <w:sz w:val="24"/>
          <w:szCs w:val="24"/>
        </w:rPr>
        <w:t xml:space="preserve"> sensible à l’impact des chocs exogènes. En 2022, la guerre </w:t>
      </w:r>
      <w:r w:rsidR="003D2ACB" w:rsidRPr="00516696">
        <w:rPr>
          <w:sz w:val="24"/>
          <w:szCs w:val="24"/>
        </w:rPr>
        <w:t>en</w:t>
      </w:r>
      <w:r w:rsidR="007360B7" w:rsidRPr="00516696">
        <w:rPr>
          <w:sz w:val="24"/>
          <w:szCs w:val="24"/>
        </w:rPr>
        <w:t xml:space="preserve"> Ukrain</w:t>
      </w:r>
      <w:r w:rsidRPr="00516696">
        <w:rPr>
          <w:sz w:val="24"/>
          <w:szCs w:val="24"/>
        </w:rPr>
        <w:t>e et</w:t>
      </w:r>
      <w:r w:rsidR="007360B7" w:rsidRPr="00516696">
        <w:rPr>
          <w:sz w:val="24"/>
          <w:szCs w:val="24"/>
        </w:rPr>
        <w:t xml:space="preserve"> une crise énergétique </w:t>
      </w:r>
      <w:r w:rsidRPr="00516696">
        <w:rPr>
          <w:sz w:val="24"/>
          <w:szCs w:val="24"/>
        </w:rPr>
        <w:t>concomitante au niveau mondial</w:t>
      </w:r>
      <w:r w:rsidR="007360B7" w:rsidRPr="00516696">
        <w:rPr>
          <w:sz w:val="24"/>
          <w:szCs w:val="24"/>
        </w:rPr>
        <w:t xml:space="preserve"> ont contribué à aggraver une situation déjà difficile, </w:t>
      </w:r>
      <w:r w:rsidR="009E202B" w:rsidRPr="00516696">
        <w:rPr>
          <w:sz w:val="24"/>
          <w:szCs w:val="24"/>
        </w:rPr>
        <w:t>et</w:t>
      </w:r>
      <w:r w:rsidRPr="00516696">
        <w:rPr>
          <w:sz w:val="24"/>
          <w:szCs w:val="24"/>
        </w:rPr>
        <w:t xml:space="preserve"> ralenti l</w:t>
      </w:r>
      <w:r w:rsidR="00957A07" w:rsidRPr="00516696">
        <w:rPr>
          <w:sz w:val="24"/>
          <w:szCs w:val="24"/>
        </w:rPr>
        <w:t>a croissance du PIB (</w:t>
      </w:r>
      <w:r w:rsidR="007360B7" w:rsidRPr="00516696">
        <w:rPr>
          <w:sz w:val="24"/>
          <w:szCs w:val="24"/>
        </w:rPr>
        <w:t>+1,8 %</w:t>
      </w:r>
      <w:r w:rsidR="00957A07" w:rsidRPr="00516696">
        <w:rPr>
          <w:sz w:val="24"/>
          <w:szCs w:val="24"/>
        </w:rPr>
        <w:t>)</w:t>
      </w:r>
      <w:r w:rsidR="001B3777" w:rsidRPr="00516696">
        <w:rPr>
          <w:sz w:val="24"/>
          <w:szCs w:val="24"/>
        </w:rPr>
        <w:t>.</w:t>
      </w:r>
      <w:r w:rsidRPr="00516696">
        <w:rPr>
          <w:sz w:val="24"/>
          <w:szCs w:val="24"/>
        </w:rPr>
        <w:t xml:space="preserve"> </w:t>
      </w:r>
      <w:r w:rsidR="00957A07" w:rsidRPr="00516696">
        <w:rPr>
          <w:sz w:val="24"/>
          <w:szCs w:val="24"/>
        </w:rPr>
        <w:t>L’</w:t>
      </w:r>
      <w:r w:rsidR="007360B7" w:rsidRPr="00516696">
        <w:rPr>
          <w:sz w:val="24"/>
          <w:szCs w:val="24"/>
        </w:rPr>
        <w:t xml:space="preserve">inflation </w:t>
      </w:r>
      <w:r w:rsidR="00957A07" w:rsidRPr="00516696">
        <w:rPr>
          <w:sz w:val="24"/>
          <w:szCs w:val="24"/>
        </w:rPr>
        <w:t>est en croissance constante et a atteint récemment des sommets (</w:t>
      </w:r>
      <w:r w:rsidR="007360B7" w:rsidRPr="00516696">
        <w:rPr>
          <w:sz w:val="24"/>
          <w:szCs w:val="24"/>
        </w:rPr>
        <w:t xml:space="preserve">plus de 25 % atteint lors du premier semestre de 2023). </w:t>
      </w:r>
    </w:p>
    <w:p w14:paraId="4DA3B596" w14:textId="65C416B5" w:rsidR="00EA3444" w:rsidRPr="00516696" w:rsidRDefault="00EA3444" w:rsidP="001A0E85">
      <w:pPr>
        <w:spacing w:before="36" w:after="60"/>
        <w:ind w:right="113"/>
        <w:jc w:val="both"/>
        <w:rPr>
          <w:sz w:val="24"/>
          <w:szCs w:val="24"/>
        </w:rPr>
      </w:pPr>
      <w:r w:rsidRPr="00516696">
        <w:rPr>
          <w:sz w:val="24"/>
          <w:szCs w:val="24"/>
        </w:rPr>
        <w:t>La progression du PIB est trop lente pour rattraper un des taux de croissance démographique</w:t>
      </w:r>
      <w:r w:rsidR="006D1A1C" w:rsidRPr="00516696">
        <w:rPr>
          <w:sz w:val="24"/>
          <w:szCs w:val="24"/>
        </w:rPr>
        <w:t xml:space="preserve"> parmi</w:t>
      </w:r>
      <w:r w:rsidRPr="00516696">
        <w:rPr>
          <w:sz w:val="24"/>
          <w:szCs w:val="24"/>
        </w:rPr>
        <w:t xml:space="preserve"> les plus élevés d’Afrique subsaharienne et du monde</w:t>
      </w:r>
      <w:r w:rsidR="005C46DB" w:rsidRPr="00516696">
        <w:rPr>
          <w:sz w:val="24"/>
          <w:szCs w:val="24"/>
        </w:rPr>
        <w:t xml:space="preserve"> (estimation en 2023 : +3,16%</w:t>
      </w:r>
      <w:r w:rsidR="001B3777" w:rsidRPr="00516696">
        <w:rPr>
          <w:rStyle w:val="FootnoteReference"/>
          <w:sz w:val="24"/>
          <w:szCs w:val="24"/>
        </w:rPr>
        <w:footnoteReference w:id="6"/>
      </w:r>
      <w:r w:rsidR="005C46DB" w:rsidRPr="00516696">
        <w:rPr>
          <w:sz w:val="24"/>
          <w:szCs w:val="24"/>
        </w:rPr>
        <w:t xml:space="preserve">) </w:t>
      </w:r>
      <w:r w:rsidRPr="00516696">
        <w:rPr>
          <w:sz w:val="24"/>
          <w:szCs w:val="24"/>
        </w:rPr>
        <w:t>pour un des pays les plus</w:t>
      </w:r>
      <w:r w:rsidR="00850291">
        <w:rPr>
          <w:sz w:val="24"/>
          <w:szCs w:val="24"/>
        </w:rPr>
        <w:t xml:space="preserve"> densément peuplés au monde (442</w:t>
      </w:r>
      <w:r w:rsidRPr="00516696">
        <w:rPr>
          <w:sz w:val="24"/>
          <w:szCs w:val="24"/>
        </w:rPr>
        <w:t xml:space="preserve"> habitants/km2) et faiblement urbanisé (14,4 %</w:t>
      </w:r>
      <w:r w:rsidR="001B3777" w:rsidRPr="00516696">
        <w:rPr>
          <w:rStyle w:val="FootnoteReference"/>
          <w:sz w:val="24"/>
          <w:szCs w:val="24"/>
        </w:rPr>
        <w:footnoteReference w:id="7"/>
      </w:r>
      <w:r w:rsidRPr="00516696">
        <w:rPr>
          <w:sz w:val="24"/>
          <w:szCs w:val="24"/>
        </w:rPr>
        <w:t>).</w:t>
      </w:r>
    </w:p>
    <w:p w14:paraId="21DD4AFD" w14:textId="31D85C64" w:rsidR="006678F7" w:rsidRPr="00516696" w:rsidRDefault="006678F7" w:rsidP="001A0E85">
      <w:pPr>
        <w:spacing w:before="36" w:after="60"/>
        <w:ind w:right="113"/>
        <w:jc w:val="both"/>
        <w:rPr>
          <w:sz w:val="24"/>
          <w:szCs w:val="24"/>
        </w:rPr>
      </w:pPr>
      <w:r w:rsidRPr="00516696">
        <w:rPr>
          <w:sz w:val="24"/>
          <w:szCs w:val="24"/>
        </w:rPr>
        <w:t xml:space="preserve">La structure démographique du pays, caractérisée par 65% de la population </w:t>
      </w:r>
      <w:r w:rsidR="004B149F" w:rsidRPr="00516696">
        <w:rPr>
          <w:sz w:val="24"/>
          <w:szCs w:val="24"/>
        </w:rPr>
        <w:t>ayant</w:t>
      </w:r>
      <w:r w:rsidRPr="00516696">
        <w:rPr>
          <w:sz w:val="24"/>
          <w:szCs w:val="24"/>
        </w:rPr>
        <w:t xml:space="preserve"> moins </w:t>
      </w:r>
      <w:r w:rsidR="004B149F" w:rsidRPr="00516696">
        <w:rPr>
          <w:sz w:val="24"/>
          <w:szCs w:val="24"/>
        </w:rPr>
        <w:t>de 25 ans</w:t>
      </w:r>
      <w:r w:rsidR="001B3777" w:rsidRPr="00516696">
        <w:rPr>
          <w:rStyle w:val="FootnoteReference"/>
          <w:sz w:val="24"/>
          <w:szCs w:val="24"/>
        </w:rPr>
        <w:footnoteReference w:id="8"/>
      </w:r>
      <w:r w:rsidR="001B3777" w:rsidRPr="00516696">
        <w:rPr>
          <w:sz w:val="24"/>
          <w:szCs w:val="24"/>
        </w:rPr>
        <w:t xml:space="preserve"> </w:t>
      </w:r>
      <w:r w:rsidRPr="00516696">
        <w:rPr>
          <w:sz w:val="24"/>
          <w:szCs w:val="24"/>
        </w:rPr>
        <w:t>représente un des principaux défis pour son développement. Par ailleurs, les faibles qualité et accès aux services de base, la persistance des inégalités, le faible niveau de compétences et le taux élevé de chômage, le manque de ressources et d’opportunités et la pauvreté généralisée compromettent l’avenir des jeunes et, plus généralement, le développement socio-économique du pays.</w:t>
      </w:r>
    </w:p>
    <w:p w14:paraId="2B9FD250" w14:textId="5D17FCD6" w:rsidR="00B10568" w:rsidRPr="00516696" w:rsidRDefault="00B10568" w:rsidP="00B10568">
      <w:pPr>
        <w:spacing w:before="36" w:after="60"/>
        <w:ind w:right="113"/>
        <w:jc w:val="both"/>
        <w:rPr>
          <w:sz w:val="24"/>
          <w:szCs w:val="24"/>
        </w:rPr>
      </w:pPr>
      <w:r w:rsidRPr="00516696">
        <w:rPr>
          <w:sz w:val="24"/>
          <w:szCs w:val="24"/>
        </w:rPr>
        <w:t>L’Indice de Pauvreté Multidimensionnel est en augmentation constante et s’établissait en 2022 à 75,1 %, ce qui signifie que près de 8,1 millions de personnes sur une population de plus de 12,3 millions</w:t>
      </w:r>
      <w:r w:rsidRPr="00516696">
        <w:rPr>
          <w:sz w:val="24"/>
          <w:szCs w:val="24"/>
        </w:rPr>
        <w:footnoteReference w:id="9"/>
      </w:r>
      <w:r w:rsidRPr="00516696">
        <w:rPr>
          <w:sz w:val="24"/>
          <w:szCs w:val="24"/>
        </w:rPr>
        <w:t xml:space="preserve"> vivent en situation de pauvreté multidimensionnelle</w:t>
      </w:r>
      <w:r w:rsidR="001B3777" w:rsidRPr="00516696">
        <w:rPr>
          <w:rStyle w:val="FootnoteReference"/>
          <w:sz w:val="24"/>
          <w:szCs w:val="24"/>
        </w:rPr>
        <w:footnoteReference w:id="10"/>
      </w:r>
      <w:r w:rsidRPr="00516696">
        <w:rPr>
          <w:sz w:val="24"/>
          <w:szCs w:val="24"/>
        </w:rPr>
        <w:t>.</w:t>
      </w:r>
    </w:p>
    <w:p w14:paraId="1EC3404B" w14:textId="5CF46678" w:rsidR="00E8257A" w:rsidRPr="004B3C7E" w:rsidRDefault="004F4B7C" w:rsidP="00782705">
      <w:pPr>
        <w:pStyle w:val="Heading1"/>
        <w:numPr>
          <w:ilvl w:val="0"/>
          <w:numId w:val="15"/>
        </w:numPr>
        <w:rPr>
          <w:rFonts w:ascii="Times New Roman" w:hAnsi="Times New Roman" w:cs="Times New Roman"/>
          <w:color w:val="auto"/>
          <w:lang w:val="fr-BE"/>
        </w:rPr>
      </w:pPr>
      <w:r w:rsidRPr="004B3C7E">
        <w:rPr>
          <w:rFonts w:ascii="Times New Roman" w:hAnsi="Times New Roman" w:cs="Times New Roman"/>
          <w:color w:val="auto"/>
          <w:lang w:val="fr-BE"/>
        </w:rPr>
        <w:t>Orientations Générales</w:t>
      </w:r>
    </w:p>
    <w:p w14:paraId="4DB6F82A" w14:textId="5809A91E" w:rsidR="00AF3B5F" w:rsidRPr="00516696" w:rsidRDefault="00AF3B5F" w:rsidP="005D58EE">
      <w:pPr>
        <w:jc w:val="both"/>
        <w:rPr>
          <w:sz w:val="24"/>
          <w:szCs w:val="24"/>
          <w:lang w:val="fr-BE"/>
        </w:rPr>
      </w:pPr>
      <w:r w:rsidRPr="00516696">
        <w:rPr>
          <w:sz w:val="24"/>
          <w:szCs w:val="24"/>
          <w:lang w:val="fr-BE"/>
        </w:rPr>
        <w:t>L’objectif général (impact) de cette action est de renforcer «la gouvernance démocratique et la cohésion sociale pour des élections crédibles et apaisées ».</w:t>
      </w:r>
    </w:p>
    <w:p w14:paraId="05A9B892" w14:textId="77777777" w:rsidR="006A12C9" w:rsidRPr="00516696" w:rsidRDefault="006A12C9" w:rsidP="005D58EE">
      <w:pPr>
        <w:jc w:val="both"/>
        <w:rPr>
          <w:sz w:val="24"/>
          <w:szCs w:val="24"/>
          <w:lang w:val="fr-BE"/>
        </w:rPr>
      </w:pPr>
    </w:p>
    <w:p w14:paraId="7F5B487B" w14:textId="77777777" w:rsidR="00AF3B5F" w:rsidRPr="00516696" w:rsidRDefault="00AF3B5F" w:rsidP="005D58EE">
      <w:pPr>
        <w:jc w:val="both"/>
        <w:rPr>
          <w:sz w:val="24"/>
          <w:szCs w:val="24"/>
          <w:lang w:val="fr-BE"/>
        </w:rPr>
      </w:pPr>
      <w:r w:rsidRPr="00516696">
        <w:rPr>
          <w:sz w:val="24"/>
          <w:szCs w:val="24"/>
          <w:lang w:val="fr-BE"/>
        </w:rPr>
        <w:t>Les objectifs spécifiques de cette action sont:</w:t>
      </w:r>
    </w:p>
    <w:p w14:paraId="6BF8A618" w14:textId="2EA818B6" w:rsidR="00AF3B5F" w:rsidRPr="00516696" w:rsidRDefault="00AF3B5F" w:rsidP="005D58EE">
      <w:pPr>
        <w:jc w:val="both"/>
        <w:rPr>
          <w:sz w:val="24"/>
          <w:szCs w:val="24"/>
          <w:lang w:val="fr-BE"/>
        </w:rPr>
      </w:pPr>
      <w:r w:rsidRPr="00516696">
        <w:rPr>
          <w:sz w:val="24"/>
          <w:szCs w:val="24"/>
          <w:lang w:val="fr-BE"/>
        </w:rPr>
        <w:t>1. Accroitre la participation citoyenne, en particulier celle des femmes, des jeunes et des personnes vivant avec handicap, dans le suiv</w:t>
      </w:r>
      <w:r w:rsidR="00850291">
        <w:rPr>
          <w:sz w:val="24"/>
          <w:szCs w:val="24"/>
          <w:lang w:val="fr-BE"/>
        </w:rPr>
        <w:t>i du processus électoral, et les</w:t>
      </w:r>
      <w:r w:rsidRPr="00516696">
        <w:rPr>
          <w:sz w:val="24"/>
          <w:szCs w:val="24"/>
          <w:lang w:val="fr-BE"/>
        </w:rPr>
        <w:t xml:space="preserve"> processus démocratiques et politiques.</w:t>
      </w:r>
    </w:p>
    <w:p w14:paraId="3D08DA09" w14:textId="77777777" w:rsidR="00AF3B5F" w:rsidRPr="00516696" w:rsidRDefault="00AF3B5F" w:rsidP="005D58EE">
      <w:pPr>
        <w:jc w:val="both"/>
        <w:rPr>
          <w:sz w:val="24"/>
          <w:szCs w:val="24"/>
          <w:lang w:val="fr-BE"/>
        </w:rPr>
      </w:pPr>
      <w:r w:rsidRPr="00516696">
        <w:rPr>
          <w:sz w:val="24"/>
          <w:szCs w:val="24"/>
          <w:lang w:val="fr-BE"/>
        </w:rPr>
        <w:t>2. Renforcer les capacités institutionnelles des organes de gestion des élections pour l’amélioration de la qualité de l’organisation des élections au regard des standards internationaux.</w:t>
      </w:r>
    </w:p>
    <w:p w14:paraId="6FC1BCEB" w14:textId="77777777" w:rsidR="005D58EE" w:rsidRPr="00516696" w:rsidRDefault="00AF3B5F" w:rsidP="005D58EE">
      <w:pPr>
        <w:jc w:val="both"/>
        <w:rPr>
          <w:sz w:val="24"/>
          <w:szCs w:val="24"/>
          <w:lang w:val="fr-BE"/>
        </w:rPr>
      </w:pPr>
      <w:r w:rsidRPr="00516696">
        <w:rPr>
          <w:sz w:val="24"/>
          <w:szCs w:val="24"/>
          <w:lang w:val="fr-BE"/>
        </w:rPr>
        <w:t>3. Appuyer les partis politiques afin qu’ils soient mieux structurés, plus redevables, inclusifs et responsabilisés.</w:t>
      </w:r>
    </w:p>
    <w:p w14:paraId="1746A53A" w14:textId="4BD07D87" w:rsidR="00AF3B5F" w:rsidRPr="00516696" w:rsidRDefault="005D58EE" w:rsidP="005D58EE">
      <w:pPr>
        <w:jc w:val="both"/>
        <w:rPr>
          <w:sz w:val="24"/>
          <w:szCs w:val="24"/>
          <w:lang w:val="fr-BE"/>
        </w:rPr>
      </w:pPr>
      <w:r w:rsidRPr="00516696">
        <w:rPr>
          <w:sz w:val="24"/>
          <w:szCs w:val="24"/>
          <w:lang w:val="fr-BE"/>
        </w:rPr>
        <w:t xml:space="preserve">4. </w:t>
      </w:r>
      <w:r w:rsidR="00AF3B5F" w:rsidRPr="00516696">
        <w:rPr>
          <w:sz w:val="24"/>
          <w:szCs w:val="24"/>
          <w:lang w:val="fr-BE"/>
        </w:rPr>
        <w:t>Renforcer les capacités des médias pour assurer une couverture équilibrée et impartiale des élections et une participation équitable au processus électoral de tous les candidats et partis politiques.</w:t>
      </w:r>
    </w:p>
    <w:p w14:paraId="00A6B9FD" w14:textId="77777777" w:rsidR="005D58EE" w:rsidRPr="00516696" w:rsidRDefault="005D58EE" w:rsidP="005D58EE">
      <w:pPr>
        <w:pStyle w:val="ListParagraph"/>
        <w:ind w:left="360" w:firstLine="0"/>
        <w:rPr>
          <w:sz w:val="24"/>
          <w:szCs w:val="24"/>
          <w:lang w:val="fr-BE"/>
        </w:rPr>
      </w:pPr>
    </w:p>
    <w:p w14:paraId="0C3D661C" w14:textId="77777777" w:rsidR="00AF3B5F" w:rsidRPr="00516696" w:rsidRDefault="00AF3B5F" w:rsidP="005D58EE">
      <w:pPr>
        <w:jc w:val="both"/>
        <w:rPr>
          <w:sz w:val="24"/>
          <w:szCs w:val="24"/>
          <w:lang w:val="fr-BE"/>
        </w:rPr>
      </w:pPr>
      <w:r w:rsidRPr="00516696">
        <w:rPr>
          <w:sz w:val="24"/>
          <w:szCs w:val="24"/>
          <w:lang w:val="fr-BE"/>
        </w:rPr>
        <w:t>Les produits de cette action contribuant aux objectifs spécifiques (effet(s) attendu(s)) correspondants sont les suivants:</w:t>
      </w:r>
    </w:p>
    <w:p w14:paraId="2A82F0F4" w14:textId="77777777" w:rsidR="00AF3B5F" w:rsidRPr="00516696" w:rsidRDefault="00AF3B5F" w:rsidP="005D58EE">
      <w:pPr>
        <w:jc w:val="both"/>
        <w:rPr>
          <w:sz w:val="24"/>
          <w:szCs w:val="24"/>
          <w:lang w:val="fr-BE"/>
        </w:rPr>
      </w:pPr>
      <w:r w:rsidRPr="00516696">
        <w:rPr>
          <w:sz w:val="24"/>
          <w:szCs w:val="24"/>
          <w:lang w:val="fr-BE"/>
        </w:rPr>
        <w:t xml:space="preserve">1.1 Les capacités des </w:t>
      </w:r>
      <w:proofErr w:type="spellStart"/>
      <w:r w:rsidRPr="00516696">
        <w:rPr>
          <w:sz w:val="24"/>
          <w:szCs w:val="24"/>
          <w:lang w:val="fr-BE"/>
        </w:rPr>
        <w:t>OSC</w:t>
      </w:r>
      <w:proofErr w:type="spellEnd"/>
      <w:r w:rsidRPr="00516696">
        <w:rPr>
          <w:sz w:val="24"/>
          <w:szCs w:val="24"/>
          <w:lang w:val="fr-BE"/>
        </w:rPr>
        <w:t xml:space="preserve"> et en particulier les organisations des femmes, des jeunes, des personnes vivant avec handicap et des déplacés internes (IDP) et retournés, sont renforcées pour une participation plus active aux processus démocratiques et politiques.</w:t>
      </w:r>
    </w:p>
    <w:p w14:paraId="7C627DA1" w14:textId="77777777" w:rsidR="00AF3B5F" w:rsidRPr="00516696" w:rsidRDefault="00AF3B5F" w:rsidP="005D58EE">
      <w:pPr>
        <w:jc w:val="both"/>
        <w:rPr>
          <w:sz w:val="24"/>
          <w:szCs w:val="24"/>
          <w:lang w:val="fr-BE"/>
        </w:rPr>
      </w:pPr>
      <w:r w:rsidRPr="00516696">
        <w:rPr>
          <w:sz w:val="24"/>
          <w:szCs w:val="24"/>
          <w:lang w:val="fr-BE"/>
        </w:rPr>
        <w:t>1.2 La confiance de l’opinion publique burundaise dans les processus électoraux et démocratiques est renforcée, notamment au moyen de l’observation électorale nationale.</w:t>
      </w:r>
    </w:p>
    <w:p w14:paraId="697A8425" w14:textId="77777777" w:rsidR="00AF3B5F" w:rsidRPr="00516696" w:rsidRDefault="00AF3B5F" w:rsidP="005D58EE">
      <w:pPr>
        <w:jc w:val="both"/>
        <w:rPr>
          <w:sz w:val="24"/>
          <w:szCs w:val="24"/>
          <w:lang w:val="fr-BE"/>
        </w:rPr>
      </w:pPr>
      <w:r w:rsidRPr="00516696">
        <w:rPr>
          <w:sz w:val="24"/>
          <w:szCs w:val="24"/>
          <w:lang w:val="fr-BE"/>
        </w:rPr>
        <w:t>1.3 La prévention et la gestion des conflits électoraux est appuyée.</w:t>
      </w:r>
    </w:p>
    <w:p w14:paraId="1C2C669F" w14:textId="77777777" w:rsidR="00AF3B5F" w:rsidRPr="00516696" w:rsidRDefault="00AF3B5F" w:rsidP="005D58EE">
      <w:pPr>
        <w:jc w:val="both"/>
        <w:rPr>
          <w:sz w:val="24"/>
          <w:szCs w:val="24"/>
          <w:lang w:val="fr-BE"/>
        </w:rPr>
      </w:pPr>
      <w:r w:rsidRPr="00516696">
        <w:rPr>
          <w:sz w:val="24"/>
          <w:szCs w:val="24"/>
          <w:lang w:val="fr-BE"/>
        </w:rPr>
        <w:t>2.1 Les capacités de la CENI sont renforcées grâce à une assistance technique accompagnant la conduite d’opérations électorales de façon impartiale, indépendante, professionnalisée et continue tout le long du cycle électoral.</w:t>
      </w:r>
    </w:p>
    <w:p w14:paraId="6E6999CE" w14:textId="4EACE42B" w:rsidR="00AF3B5F" w:rsidRPr="00516696" w:rsidRDefault="00850291" w:rsidP="005D58EE">
      <w:pPr>
        <w:jc w:val="both"/>
        <w:rPr>
          <w:sz w:val="24"/>
          <w:szCs w:val="24"/>
          <w:lang w:val="fr-BE"/>
        </w:rPr>
      </w:pPr>
      <w:r>
        <w:rPr>
          <w:sz w:val="24"/>
          <w:szCs w:val="24"/>
          <w:lang w:val="fr-BE"/>
        </w:rPr>
        <w:t xml:space="preserve">2.2 La </w:t>
      </w:r>
      <w:proofErr w:type="spellStart"/>
      <w:r w:rsidR="00AF3B5F" w:rsidRPr="00516696">
        <w:rPr>
          <w:sz w:val="24"/>
          <w:szCs w:val="24"/>
          <w:lang w:val="fr-BE"/>
        </w:rPr>
        <w:t>CNIDH</w:t>
      </w:r>
      <w:proofErr w:type="spellEnd"/>
      <w:r w:rsidR="00AF3B5F" w:rsidRPr="00516696">
        <w:rPr>
          <w:sz w:val="24"/>
          <w:szCs w:val="24"/>
          <w:lang w:val="fr-BE"/>
        </w:rPr>
        <w:t xml:space="preserve"> est formée aux enjeux techniques d’un processus électoral et elle est mieux outillée pour remplir son rôle d’enquête, d’étude et de monitoring des droits de l’homme et de l’égalité de genre, dans le cadre du processus électoral.</w:t>
      </w:r>
    </w:p>
    <w:p w14:paraId="643E6EF1" w14:textId="01C8DABC" w:rsidR="00AF3B5F" w:rsidRPr="00516696" w:rsidRDefault="00AF3B5F" w:rsidP="005D58EE">
      <w:pPr>
        <w:jc w:val="both"/>
        <w:rPr>
          <w:sz w:val="24"/>
          <w:szCs w:val="24"/>
          <w:lang w:val="fr-BE"/>
        </w:rPr>
      </w:pPr>
      <w:r w:rsidRPr="00516696">
        <w:rPr>
          <w:sz w:val="24"/>
          <w:szCs w:val="24"/>
          <w:lang w:val="fr-BE"/>
        </w:rPr>
        <w:t xml:space="preserve">3.1 La participation des partis politiques, avec un focus sur les jeunes, les femmes et les personnes vivant avec handicap, dans la gouvernance démocratique au Burundi </w:t>
      </w:r>
      <w:r w:rsidR="00850291">
        <w:rPr>
          <w:sz w:val="24"/>
          <w:szCs w:val="24"/>
          <w:lang w:val="fr-BE"/>
        </w:rPr>
        <w:t>est renforcée</w:t>
      </w:r>
      <w:r w:rsidRPr="00516696">
        <w:rPr>
          <w:sz w:val="24"/>
          <w:szCs w:val="24"/>
          <w:lang w:val="fr-BE"/>
        </w:rPr>
        <w:t>.</w:t>
      </w:r>
    </w:p>
    <w:p w14:paraId="0D72AF95" w14:textId="78004EA1" w:rsidR="00AF3B5F" w:rsidRPr="00516696" w:rsidRDefault="00AF3B5F" w:rsidP="005D58EE">
      <w:pPr>
        <w:jc w:val="both"/>
        <w:rPr>
          <w:sz w:val="24"/>
          <w:szCs w:val="24"/>
          <w:lang w:val="fr-BE"/>
        </w:rPr>
      </w:pPr>
      <w:r w:rsidRPr="00516696">
        <w:rPr>
          <w:sz w:val="24"/>
          <w:szCs w:val="24"/>
          <w:lang w:val="fr-BE"/>
        </w:rPr>
        <w:t>4.1 Les capacités du secteur des médias pour promouvoir un environnement libre, pluraliste et indépendant, y compris en période d’élections, sont renforcées.</w:t>
      </w:r>
    </w:p>
    <w:p w14:paraId="3ED57D0F" w14:textId="612AD06B" w:rsidR="005D58EE" w:rsidRPr="00516696" w:rsidRDefault="005D58EE" w:rsidP="005D58EE">
      <w:pPr>
        <w:jc w:val="both"/>
        <w:rPr>
          <w:sz w:val="24"/>
          <w:szCs w:val="24"/>
          <w:lang w:val="fr-BE"/>
        </w:rPr>
      </w:pPr>
    </w:p>
    <w:p w14:paraId="428A8511" w14:textId="1E4667F1" w:rsidR="005D58EE" w:rsidRPr="00516696" w:rsidRDefault="005D58EE" w:rsidP="005D58EE">
      <w:pPr>
        <w:jc w:val="both"/>
        <w:rPr>
          <w:sz w:val="24"/>
          <w:szCs w:val="24"/>
          <w:lang w:val="fr-BE"/>
        </w:rPr>
      </w:pPr>
      <w:r w:rsidRPr="0093778B">
        <w:rPr>
          <w:b/>
          <w:sz w:val="24"/>
          <w:szCs w:val="24"/>
          <w:lang w:val="fr-BE"/>
        </w:rPr>
        <w:t>Les activités indicatives</w:t>
      </w:r>
      <w:r w:rsidRPr="00516696">
        <w:rPr>
          <w:sz w:val="24"/>
          <w:szCs w:val="24"/>
          <w:lang w:val="fr-BE"/>
        </w:rPr>
        <w:t xml:space="preserve"> sont les suivantes:</w:t>
      </w:r>
    </w:p>
    <w:p w14:paraId="6E0C739D" w14:textId="77777777" w:rsidR="00516696" w:rsidRDefault="00516696" w:rsidP="005D58EE">
      <w:pPr>
        <w:jc w:val="both"/>
        <w:rPr>
          <w:sz w:val="24"/>
          <w:szCs w:val="24"/>
          <w:lang w:val="fr-BE"/>
        </w:rPr>
      </w:pPr>
    </w:p>
    <w:p w14:paraId="24BCDEAB" w14:textId="5CEE4B31" w:rsidR="005D58EE" w:rsidRPr="00516696" w:rsidRDefault="005D58EE" w:rsidP="005D58EE">
      <w:pPr>
        <w:jc w:val="both"/>
        <w:rPr>
          <w:sz w:val="24"/>
          <w:szCs w:val="24"/>
          <w:lang w:val="fr-BE"/>
        </w:rPr>
      </w:pPr>
      <w:r w:rsidRPr="00516696">
        <w:rPr>
          <w:sz w:val="24"/>
          <w:szCs w:val="24"/>
          <w:lang w:val="fr-BE"/>
        </w:rPr>
        <w:t xml:space="preserve">Activités liées au produit 1.1 </w:t>
      </w:r>
      <w:r w:rsidRPr="00B82BCE">
        <w:rPr>
          <w:i/>
          <w:sz w:val="24"/>
          <w:lang w:val="fr-BE"/>
        </w:rPr>
        <w:t xml:space="preserve">Les capacités des </w:t>
      </w:r>
      <w:proofErr w:type="spellStart"/>
      <w:r w:rsidRPr="00B82BCE">
        <w:rPr>
          <w:i/>
          <w:sz w:val="24"/>
          <w:lang w:val="fr-BE"/>
        </w:rPr>
        <w:t>OSC</w:t>
      </w:r>
      <w:proofErr w:type="spellEnd"/>
      <w:r w:rsidRPr="00B82BCE">
        <w:rPr>
          <w:i/>
          <w:sz w:val="24"/>
          <w:lang w:val="fr-BE"/>
        </w:rPr>
        <w:t xml:space="preserve"> et en particulier les organisations des femmes, des jeunes, des personnes vivant avec handicap et des déplacés internes (IDP) et retournés, sont renforcées pour une participation plus active aux proces</w:t>
      </w:r>
      <w:r w:rsidR="004763FB" w:rsidRPr="00B82BCE">
        <w:rPr>
          <w:i/>
          <w:sz w:val="24"/>
          <w:lang w:val="fr-BE"/>
        </w:rPr>
        <w:t>sus démocratiques et politiques</w:t>
      </w:r>
      <w:r w:rsidR="004763FB">
        <w:rPr>
          <w:sz w:val="24"/>
          <w:szCs w:val="24"/>
          <w:lang w:val="fr-BE"/>
        </w:rPr>
        <w:t> :</w:t>
      </w:r>
    </w:p>
    <w:p w14:paraId="7CB70116" w14:textId="37B981A8" w:rsidR="005D58EE" w:rsidRPr="00516696" w:rsidRDefault="005D58EE" w:rsidP="005D58EE">
      <w:pPr>
        <w:jc w:val="both"/>
        <w:rPr>
          <w:sz w:val="24"/>
          <w:szCs w:val="24"/>
          <w:lang w:val="fr-BE"/>
        </w:rPr>
      </w:pPr>
      <w:r w:rsidRPr="00516696">
        <w:rPr>
          <w:sz w:val="24"/>
          <w:szCs w:val="24"/>
          <w:lang w:val="fr-BE"/>
        </w:rPr>
        <w:t>- Organiser ateliers et débats citoyens autour de la promotion de l’éducation civique et de la sensibilisation électorale en vue d’un engagement actif et apaisé des citoyens, des femmes, des jeunes et des rapatri</w:t>
      </w:r>
      <w:r w:rsidR="00967F38">
        <w:rPr>
          <w:sz w:val="24"/>
          <w:szCs w:val="24"/>
          <w:lang w:val="fr-BE"/>
        </w:rPr>
        <w:t>és, dans le processus électoral;</w:t>
      </w:r>
    </w:p>
    <w:p w14:paraId="13B1A753" w14:textId="77777777" w:rsidR="005D58EE" w:rsidRPr="00516696" w:rsidRDefault="005D58EE" w:rsidP="005D58EE">
      <w:pPr>
        <w:jc w:val="both"/>
        <w:rPr>
          <w:sz w:val="24"/>
          <w:szCs w:val="24"/>
          <w:lang w:val="fr-BE"/>
        </w:rPr>
      </w:pPr>
      <w:r w:rsidRPr="00516696">
        <w:rPr>
          <w:sz w:val="24"/>
          <w:szCs w:val="24"/>
          <w:lang w:val="fr-BE"/>
        </w:rPr>
        <w:t xml:space="preserve">- Renforcer les capacités techniques des </w:t>
      </w:r>
      <w:proofErr w:type="spellStart"/>
      <w:r w:rsidRPr="00516696">
        <w:rPr>
          <w:sz w:val="24"/>
          <w:szCs w:val="24"/>
          <w:lang w:val="fr-BE"/>
        </w:rPr>
        <w:t>OSC</w:t>
      </w:r>
      <w:proofErr w:type="spellEnd"/>
      <w:r w:rsidRPr="00516696">
        <w:rPr>
          <w:sz w:val="24"/>
          <w:szCs w:val="24"/>
          <w:lang w:val="fr-BE"/>
        </w:rPr>
        <w:t xml:space="preserve"> et des associations des élus locaux dans l’appui à la participation citoyenne dans le processus électoral.</w:t>
      </w:r>
    </w:p>
    <w:p w14:paraId="216CD839" w14:textId="77777777" w:rsidR="005D58EE" w:rsidRPr="00516696" w:rsidRDefault="005D58EE" w:rsidP="005D58EE">
      <w:pPr>
        <w:jc w:val="both"/>
        <w:rPr>
          <w:sz w:val="24"/>
          <w:szCs w:val="24"/>
          <w:lang w:val="fr-BE"/>
        </w:rPr>
      </w:pPr>
      <w:r w:rsidRPr="00516696">
        <w:rPr>
          <w:sz w:val="24"/>
          <w:szCs w:val="24"/>
          <w:lang w:val="fr-BE"/>
        </w:rPr>
        <w:t>- En collaboration avec le Conseil d’Ecoute des Jeunes de la Délégation de l’Union européenne au Burundi, créer des forums locaux des femmes et des jeunes leaders;</w:t>
      </w:r>
    </w:p>
    <w:p w14:paraId="67AFB79B" w14:textId="77777777" w:rsidR="005D58EE" w:rsidRPr="00516696" w:rsidRDefault="005D58EE" w:rsidP="005D58EE">
      <w:pPr>
        <w:jc w:val="both"/>
        <w:rPr>
          <w:sz w:val="24"/>
          <w:szCs w:val="24"/>
          <w:lang w:val="fr-BE"/>
        </w:rPr>
      </w:pPr>
      <w:r w:rsidRPr="00516696">
        <w:rPr>
          <w:sz w:val="24"/>
          <w:szCs w:val="24"/>
          <w:lang w:val="fr-BE"/>
        </w:rPr>
        <w:t>- Mettre en place des comités locaux d’éducation civique, de sensibilisation électorale et de prévention des conflits électoraux;</w:t>
      </w:r>
    </w:p>
    <w:p w14:paraId="5B23984A" w14:textId="77777777" w:rsidR="005D58EE" w:rsidRPr="00516696" w:rsidRDefault="005D58EE" w:rsidP="005D58EE">
      <w:pPr>
        <w:jc w:val="both"/>
        <w:rPr>
          <w:sz w:val="24"/>
          <w:szCs w:val="24"/>
          <w:lang w:val="fr-BE"/>
        </w:rPr>
      </w:pPr>
      <w:r w:rsidRPr="00516696">
        <w:rPr>
          <w:sz w:val="24"/>
          <w:szCs w:val="24"/>
          <w:lang w:val="fr-BE"/>
        </w:rPr>
        <w:t>-Renforcer le niveau d'information des citoyens sur les enjeux électoraux et de gouvernance.</w:t>
      </w:r>
    </w:p>
    <w:p w14:paraId="4A48E9AE" w14:textId="77777777" w:rsidR="004763FB" w:rsidRDefault="004763FB" w:rsidP="005D58EE">
      <w:pPr>
        <w:jc w:val="both"/>
        <w:rPr>
          <w:sz w:val="24"/>
          <w:szCs w:val="24"/>
          <w:lang w:val="fr-BE"/>
        </w:rPr>
      </w:pPr>
    </w:p>
    <w:p w14:paraId="7F9626B2" w14:textId="3CC789E4" w:rsidR="005D58EE" w:rsidRPr="00516696" w:rsidRDefault="005D58EE" w:rsidP="005D58EE">
      <w:pPr>
        <w:jc w:val="both"/>
        <w:rPr>
          <w:sz w:val="24"/>
          <w:szCs w:val="24"/>
          <w:lang w:val="fr-BE"/>
        </w:rPr>
      </w:pPr>
      <w:r w:rsidRPr="00516696">
        <w:rPr>
          <w:sz w:val="24"/>
          <w:szCs w:val="24"/>
          <w:lang w:val="fr-BE"/>
        </w:rPr>
        <w:t xml:space="preserve">Activités liées au produit 1.2 </w:t>
      </w:r>
      <w:r w:rsidRPr="00B82BCE">
        <w:rPr>
          <w:i/>
          <w:sz w:val="24"/>
          <w:lang w:val="fr-BE"/>
        </w:rPr>
        <w:t>La confiance de l’opinion publique burundaise dans les processus électoraux et démocratiques, y compris en contribuant à pr</w:t>
      </w:r>
      <w:r w:rsidR="00956153" w:rsidRPr="00B82BCE">
        <w:rPr>
          <w:i/>
          <w:sz w:val="24"/>
          <w:lang w:val="fr-BE"/>
        </w:rPr>
        <w:t>évenir la fraude, est renforcée</w:t>
      </w:r>
      <w:r w:rsidR="00956153">
        <w:rPr>
          <w:sz w:val="24"/>
          <w:szCs w:val="24"/>
          <w:lang w:val="fr-BE"/>
        </w:rPr>
        <w:t> :</w:t>
      </w:r>
    </w:p>
    <w:p w14:paraId="3E57765F" w14:textId="77777777" w:rsidR="005D58EE" w:rsidRPr="00516696" w:rsidRDefault="005D58EE" w:rsidP="005D58EE">
      <w:pPr>
        <w:jc w:val="both"/>
        <w:rPr>
          <w:sz w:val="24"/>
          <w:szCs w:val="24"/>
          <w:lang w:val="fr-BE"/>
        </w:rPr>
      </w:pPr>
      <w:r w:rsidRPr="00516696">
        <w:rPr>
          <w:sz w:val="24"/>
          <w:szCs w:val="24"/>
          <w:lang w:val="fr-BE"/>
        </w:rPr>
        <w:t>- Appuyer l’observation électorale citoyenne et la participation des femmes et des jeunes dans les missions d’observation citoyenne des élections.</w:t>
      </w:r>
    </w:p>
    <w:p w14:paraId="3C64F028" w14:textId="77777777" w:rsidR="005D58EE" w:rsidRPr="00516696" w:rsidRDefault="005D58EE" w:rsidP="005D58EE">
      <w:pPr>
        <w:jc w:val="both"/>
        <w:rPr>
          <w:sz w:val="24"/>
          <w:szCs w:val="24"/>
          <w:lang w:val="fr-BE"/>
        </w:rPr>
      </w:pPr>
      <w:r w:rsidRPr="00516696">
        <w:rPr>
          <w:sz w:val="24"/>
          <w:szCs w:val="24"/>
          <w:lang w:val="fr-BE"/>
        </w:rPr>
        <w:t>-Appuyer les organisations de la société civile (</w:t>
      </w:r>
      <w:proofErr w:type="spellStart"/>
      <w:r w:rsidRPr="00516696">
        <w:rPr>
          <w:sz w:val="24"/>
          <w:szCs w:val="24"/>
          <w:lang w:val="fr-BE"/>
        </w:rPr>
        <w:t>OSC</w:t>
      </w:r>
      <w:proofErr w:type="spellEnd"/>
      <w:r w:rsidRPr="00516696">
        <w:rPr>
          <w:sz w:val="24"/>
          <w:szCs w:val="24"/>
          <w:lang w:val="fr-BE"/>
        </w:rPr>
        <w:t>), y compris les organisations et mouvements pour les droits des femmes, des jeunes et des personnes vivant avec handicap, afin de mener un plaidoyer argumenté et constructif pour des réformes électorales</w:t>
      </w:r>
    </w:p>
    <w:p w14:paraId="0E0E4DCA" w14:textId="32F11377" w:rsidR="005D58EE" w:rsidRDefault="005D58EE" w:rsidP="005D58EE">
      <w:pPr>
        <w:jc w:val="both"/>
        <w:rPr>
          <w:sz w:val="24"/>
          <w:szCs w:val="24"/>
          <w:lang w:val="fr-BE"/>
        </w:rPr>
      </w:pPr>
      <w:r w:rsidRPr="00516696">
        <w:rPr>
          <w:sz w:val="24"/>
          <w:szCs w:val="24"/>
          <w:lang w:val="fr-BE"/>
        </w:rPr>
        <w:t>-Renforcer les capacités techniques et opérationnelles des acteurs et actrices de la société civile confessionnelle et non confessionnelle afin de leur permettre d’observer et d’analyser avec professionnalisme, et de préférence en synergie, l’ensemble des aspects du processus électoral à travers tout le territoire national.</w:t>
      </w:r>
    </w:p>
    <w:p w14:paraId="65849B8A" w14:textId="09D1C7AB" w:rsidR="00B82BCE" w:rsidRDefault="00B82BCE" w:rsidP="005D58EE">
      <w:pPr>
        <w:jc w:val="both"/>
        <w:rPr>
          <w:sz w:val="24"/>
          <w:szCs w:val="24"/>
          <w:lang w:val="fr-BE"/>
        </w:rPr>
      </w:pPr>
    </w:p>
    <w:p w14:paraId="3E76CBC1" w14:textId="77777777" w:rsidR="00B82BCE" w:rsidRPr="00B82BCE" w:rsidRDefault="00B82BCE" w:rsidP="00B82BCE">
      <w:pPr>
        <w:jc w:val="both"/>
        <w:rPr>
          <w:i/>
          <w:sz w:val="24"/>
          <w:szCs w:val="24"/>
          <w:lang w:val="fr-BE"/>
        </w:rPr>
      </w:pPr>
      <w:r w:rsidRPr="00B82BCE">
        <w:rPr>
          <w:sz w:val="24"/>
          <w:szCs w:val="24"/>
          <w:lang w:val="fr-BE"/>
        </w:rPr>
        <w:t xml:space="preserve">Activités liées au produit 1.3 </w:t>
      </w:r>
      <w:r w:rsidRPr="00B82BCE">
        <w:rPr>
          <w:i/>
          <w:sz w:val="24"/>
          <w:szCs w:val="24"/>
          <w:lang w:val="fr-BE"/>
        </w:rPr>
        <w:t>La prévention et la gestion des conflits électoraux est appuyée.</w:t>
      </w:r>
    </w:p>
    <w:p w14:paraId="5F2828AD" w14:textId="77777777" w:rsidR="00B82BCE" w:rsidRPr="00B82BCE" w:rsidRDefault="00B82BCE" w:rsidP="00B82BCE">
      <w:pPr>
        <w:jc w:val="both"/>
        <w:rPr>
          <w:sz w:val="24"/>
          <w:szCs w:val="24"/>
          <w:lang w:val="fr-BE"/>
        </w:rPr>
      </w:pPr>
      <w:r w:rsidRPr="00B82BCE">
        <w:rPr>
          <w:i/>
          <w:sz w:val="24"/>
          <w:szCs w:val="24"/>
          <w:lang w:val="fr-BE"/>
        </w:rPr>
        <w:t xml:space="preserve">- </w:t>
      </w:r>
      <w:r w:rsidRPr="00B82BCE">
        <w:rPr>
          <w:sz w:val="24"/>
          <w:szCs w:val="24"/>
          <w:lang w:val="fr-BE"/>
        </w:rPr>
        <w:t xml:space="preserve">Développer le dialogue entre </w:t>
      </w:r>
      <w:proofErr w:type="spellStart"/>
      <w:proofErr w:type="gramStart"/>
      <w:r w:rsidRPr="00B82BCE">
        <w:rPr>
          <w:sz w:val="24"/>
          <w:szCs w:val="24"/>
          <w:lang w:val="fr-BE"/>
        </w:rPr>
        <w:t>citoyen.ne.s</w:t>
      </w:r>
      <w:proofErr w:type="spellEnd"/>
      <w:proofErr w:type="gramEnd"/>
      <w:r w:rsidRPr="00B82BCE">
        <w:rPr>
          <w:sz w:val="24"/>
          <w:szCs w:val="24"/>
          <w:lang w:val="fr-BE"/>
        </w:rPr>
        <w:t xml:space="preserve"> et gouvernants à travers des cadres de concertation élargis (</w:t>
      </w:r>
      <w:proofErr w:type="spellStart"/>
      <w:r w:rsidRPr="00B82BCE">
        <w:rPr>
          <w:sz w:val="24"/>
          <w:szCs w:val="24"/>
          <w:lang w:val="fr-BE"/>
        </w:rPr>
        <w:t>OSC</w:t>
      </w:r>
      <w:proofErr w:type="spellEnd"/>
      <w:r w:rsidRPr="00B82BCE">
        <w:rPr>
          <w:sz w:val="24"/>
          <w:szCs w:val="24"/>
          <w:lang w:val="fr-BE"/>
        </w:rPr>
        <w:t>, acteurs politiques, chercheurs, médias);</w:t>
      </w:r>
    </w:p>
    <w:p w14:paraId="22AD57FB" w14:textId="77777777" w:rsidR="00B82BCE" w:rsidRPr="00B82BCE" w:rsidRDefault="00B82BCE" w:rsidP="00B82BCE">
      <w:pPr>
        <w:jc w:val="both"/>
        <w:rPr>
          <w:sz w:val="24"/>
          <w:szCs w:val="24"/>
          <w:lang w:val="fr-BE"/>
        </w:rPr>
      </w:pPr>
      <w:r w:rsidRPr="00B82BCE">
        <w:rPr>
          <w:sz w:val="24"/>
          <w:szCs w:val="24"/>
          <w:lang w:val="fr-BE"/>
        </w:rPr>
        <w:t>- Renforcer les capacités techniques et opérationnelles des acteurs et actrices de la société civile confessionnelle et non confessionnelle afin de leur permettre d’observer et d’analyser avec professionnalisme, et de préférence en synergie, l’ensemble des aspects du processus électoral à travers tout le territoire national;</w:t>
      </w:r>
    </w:p>
    <w:p w14:paraId="6F14F792" w14:textId="77777777" w:rsidR="00B82BCE" w:rsidRPr="00B82BCE" w:rsidRDefault="00B82BCE" w:rsidP="00B82BCE">
      <w:pPr>
        <w:jc w:val="both"/>
        <w:rPr>
          <w:sz w:val="24"/>
          <w:szCs w:val="24"/>
          <w:lang w:val="fr-BE"/>
        </w:rPr>
      </w:pPr>
      <w:r w:rsidRPr="00B82BCE">
        <w:rPr>
          <w:sz w:val="24"/>
          <w:szCs w:val="24"/>
          <w:lang w:val="fr-BE"/>
        </w:rPr>
        <w:t>- Appuyer la mise en place de comités locaux de médiation des conflits électoraux, en coordination avec les observateurs électoraux.</w:t>
      </w:r>
    </w:p>
    <w:p w14:paraId="126A8F82" w14:textId="77777777" w:rsidR="00B82BCE" w:rsidRPr="00B82BCE" w:rsidRDefault="00B82BCE" w:rsidP="00B82BCE">
      <w:pPr>
        <w:jc w:val="both"/>
        <w:rPr>
          <w:sz w:val="24"/>
          <w:szCs w:val="24"/>
          <w:lang w:val="fr-BE"/>
        </w:rPr>
      </w:pPr>
    </w:p>
    <w:p w14:paraId="1D101E42" w14:textId="77777777" w:rsidR="00B82BCE" w:rsidRPr="00B82BCE" w:rsidRDefault="00B82BCE" w:rsidP="00B82BCE">
      <w:pPr>
        <w:jc w:val="both"/>
        <w:rPr>
          <w:sz w:val="24"/>
          <w:szCs w:val="24"/>
          <w:lang w:val="fr-BE"/>
        </w:rPr>
      </w:pPr>
    </w:p>
    <w:p w14:paraId="0E658E04" w14:textId="77777777" w:rsidR="00B82BCE" w:rsidRPr="00B82BCE" w:rsidRDefault="00B82BCE" w:rsidP="00B82BCE">
      <w:pPr>
        <w:jc w:val="both"/>
        <w:rPr>
          <w:i/>
          <w:sz w:val="24"/>
          <w:szCs w:val="24"/>
          <w:lang w:val="fr-BE"/>
        </w:rPr>
      </w:pPr>
      <w:r w:rsidRPr="00B82BCE">
        <w:rPr>
          <w:sz w:val="24"/>
          <w:szCs w:val="24"/>
          <w:lang w:val="fr-BE"/>
        </w:rPr>
        <w:t>Activités liées au produit 2.1</w:t>
      </w:r>
      <w:r w:rsidRPr="00B82BCE">
        <w:rPr>
          <w:sz w:val="24"/>
          <w:szCs w:val="24"/>
          <w:lang w:val="fr-BE"/>
        </w:rPr>
        <w:tab/>
      </w:r>
      <w:r w:rsidRPr="00B82BCE">
        <w:rPr>
          <w:i/>
          <w:sz w:val="24"/>
          <w:szCs w:val="24"/>
          <w:lang w:val="fr-BE"/>
        </w:rPr>
        <w:t>Les capacités de la CENI à conduire des opérations électorales de façon impartiale, indépendante, professionnalisée et continue tout le long du cycle électoral sont renforcées</w:t>
      </w:r>
    </w:p>
    <w:p w14:paraId="6905E03B" w14:textId="77777777" w:rsidR="00B82BCE" w:rsidRPr="00B82BCE" w:rsidRDefault="00B82BCE" w:rsidP="00B82BCE">
      <w:pPr>
        <w:jc w:val="both"/>
        <w:rPr>
          <w:sz w:val="24"/>
          <w:szCs w:val="24"/>
          <w:lang w:val="fr-BE"/>
        </w:rPr>
      </w:pPr>
    </w:p>
    <w:p w14:paraId="17A88BAE" w14:textId="77777777" w:rsidR="00B82BCE" w:rsidRPr="00B82BCE" w:rsidRDefault="00B82BCE" w:rsidP="00B82BCE">
      <w:pPr>
        <w:jc w:val="both"/>
        <w:rPr>
          <w:sz w:val="24"/>
          <w:szCs w:val="24"/>
          <w:lang w:val="fr-BE"/>
        </w:rPr>
      </w:pPr>
      <w:r w:rsidRPr="00B82BCE">
        <w:rPr>
          <w:sz w:val="24"/>
          <w:szCs w:val="24"/>
          <w:lang w:val="fr-BE"/>
        </w:rPr>
        <w:t>- Appuyer les différentes directions de la Commission électorale nationale indépendante (CENI) dans la mise en œuvre du plan stratégique puis dans l’organisation des scrutins;</w:t>
      </w:r>
    </w:p>
    <w:p w14:paraId="380352F3" w14:textId="77777777" w:rsidR="00B82BCE" w:rsidRPr="00B82BCE" w:rsidRDefault="00B82BCE" w:rsidP="00B82BCE">
      <w:pPr>
        <w:jc w:val="both"/>
        <w:rPr>
          <w:sz w:val="24"/>
          <w:szCs w:val="24"/>
          <w:lang w:val="fr-BE"/>
        </w:rPr>
      </w:pPr>
      <w:r w:rsidRPr="00B82BCE">
        <w:rPr>
          <w:sz w:val="24"/>
          <w:szCs w:val="24"/>
          <w:lang w:val="fr-BE"/>
        </w:rPr>
        <w:t>- Appuyer la CENI dans la définition de sa stratégie par rapport à l’inclusion des minorités dans le processus électoral et dans sa stratégie « genre »;</w:t>
      </w:r>
    </w:p>
    <w:p w14:paraId="72920BB7" w14:textId="77777777" w:rsidR="00B82BCE" w:rsidRPr="00B82BCE" w:rsidRDefault="00B82BCE" w:rsidP="00B82BCE">
      <w:pPr>
        <w:jc w:val="both"/>
        <w:rPr>
          <w:sz w:val="24"/>
          <w:szCs w:val="24"/>
          <w:lang w:val="fr-BE"/>
        </w:rPr>
      </w:pPr>
      <w:r w:rsidRPr="00B82BCE">
        <w:rPr>
          <w:sz w:val="24"/>
          <w:szCs w:val="24"/>
          <w:lang w:val="fr-BE"/>
        </w:rPr>
        <w:t>- Renforcer les capacités de la CENI ainsi que ses antennes dans l’utilisation et l’opérationnalisation des nouvelles technologies électorales à toutes les étapes du processus électoral (enregistrement des électeurs et des candidats, opérations de vote, transmission des résultats, etc.);</w:t>
      </w:r>
    </w:p>
    <w:p w14:paraId="67D86AB5" w14:textId="77777777" w:rsidR="00B82BCE" w:rsidRPr="00B82BCE" w:rsidRDefault="00B82BCE" w:rsidP="00B82BCE">
      <w:pPr>
        <w:jc w:val="both"/>
        <w:rPr>
          <w:sz w:val="24"/>
          <w:szCs w:val="24"/>
          <w:lang w:val="fr-BE"/>
        </w:rPr>
      </w:pPr>
      <w:r w:rsidRPr="00B82BCE">
        <w:rPr>
          <w:sz w:val="24"/>
          <w:szCs w:val="24"/>
          <w:lang w:val="fr-BE"/>
        </w:rPr>
        <w:t>- Renforcement des synergies, de l’échange d’informations et de la coordination entre les différentes actions menées par la CENI, les parties prenantes et les partenaires techniques et financiers (sensibilisation électorale, éducation civique, cadres de concertation, observation électorale, etc.);</w:t>
      </w:r>
    </w:p>
    <w:p w14:paraId="74828C13" w14:textId="77777777" w:rsidR="00B82BCE" w:rsidRPr="00B82BCE" w:rsidRDefault="00B82BCE" w:rsidP="00B82BCE">
      <w:pPr>
        <w:jc w:val="both"/>
        <w:rPr>
          <w:sz w:val="24"/>
          <w:szCs w:val="24"/>
          <w:lang w:val="fr-BE"/>
        </w:rPr>
      </w:pPr>
      <w:r w:rsidRPr="00B82BCE">
        <w:rPr>
          <w:sz w:val="24"/>
          <w:szCs w:val="24"/>
          <w:lang w:val="fr-BE"/>
        </w:rPr>
        <w:t>- Appui à la CENI en vue de la formation de ses cadres permanents et agents de court-terme.</w:t>
      </w:r>
    </w:p>
    <w:p w14:paraId="4F44AB70" w14:textId="77777777" w:rsidR="00B82BCE" w:rsidRPr="00B82BCE" w:rsidRDefault="00B82BCE" w:rsidP="00B82BCE">
      <w:pPr>
        <w:jc w:val="both"/>
        <w:rPr>
          <w:sz w:val="24"/>
          <w:szCs w:val="24"/>
          <w:lang w:val="fr-BE"/>
        </w:rPr>
      </w:pPr>
    </w:p>
    <w:p w14:paraId="1871CF51" w14:textId="77777777" w:rsidR="00B82BCE" w:rsidRPr="00B82BCE" w:rsidRDefault="00B82BCE" w:rsidP="00B82BCE">
      <w:pPr>
        <w:jc w:val="both"/>
        <w:rPr>
          <w:i/>
          <w:sz w:val="24"/>
          <w:szCs w:val="24"/>
          <w:lang w:val="fr-BE"/>
        </w:rPr>
      </w:pPr>
      <w:r w:rsidRPr="00B82BCE">
        <w:rPr>
          <w:sz w:val="24"/>
          <w:szCs w:val="24"/>
          <w:lang w:val="fr-BE"/>
        </w:rPr>
        <w:t xml:space="preserve">Activités liées au produit 2.2 </w:t>
      </w:r>
      <w:r w:rsidRPr="00B82BCE">
        <w:rPr>
          <w:i/>
          <w:sz w:val="24"/>
          <w:szCs w:val="24"/>
          <w:lang w:val="fr-BE"/>
        </w:rPr>
        <w:t xml:space="preserve">La </w:t>
      </w:r>
      <w:proofErr w:type="spellStart"/>
      <w:r w:rsidRPr="00B82BCE">
        <w:rPr>
          <w:i/>
          <w:sz w:val="24"/>
          <w:szCs w:val="24"/>
          <w:lang w:val="fr-BE"/>
        </w:rPr>
        <w:t>CNIDH</w:t>
      </w:r>
      <w:proofErr w:type="spellEnd"/>
      <w:r w:rsidRPr="00B82BCE">
        <w:rPr>
          <w:i/>
          <w:sz w:val="24"/>
          <w:szCs w:val="24"/>
          <w:lang w:val="fr-BE"/>
        </w:rPr>
        <w:t xml:space="preserve"> est formée aux enjeux techniques d’un processus électoral et elle est mieux outillée pour remplir son rôle d’enquête, d’étude et de monitoring des droits de l’homme et de l’égalité de genre, dans le cadre du processus électoral.</w:t>
      </w:r>
    </w:p>
    <w:p w14:paraId="4C5B46C0" w14:textId="77777777" w:rsidR="00B82BCE" w:rsidRPr="00B82BCE" w:rsidRDefault="00B82BCE" w:rsidP="00B82BCE">
      <w:pPr>
        <w:numPr>
          <w:ilvl w:val="0"/>
          <w:numId w:val="25"/>
        </w:numPr>
        <w:ind w:left="142" w:hanging="142"/>
        <w:jc w:val="both"/>
        <w:rPr>
          <w:sz w:val="24"/>
          <w:szCs w:val="24"/>
          <w:lang w:val="fr-BE"/>
        </w:rPr>
      </w:pPr>
      <w:r w:rsidRPr="00B82BCE">
        <w:rPr>
          <w:sz w:val="24"/>
          <w:szCs w:val="24"/>
          <w:lang w:val="fr-BE"/>
        </w:rPr>
        <w:t xml:space="preserve">Renforcer les capacités techniques des membres de la </w:t>
      </w:r>
      <w:proofErr w:type="spellStart"/>
      <w:r w:rsidRPr="00B82BCE">
        <w:rPr>
          <w:sz w:val="24"/>
          <w:szCs w:val="24"/>
          <w:lang w:val="fr-BE"/>
        </w:rPr>
        <w:t>CNIDH</w:t>
      </w:r>
      <w:proofErr w:type="spellEnd"/>
      <w:r w:rsidRPr="00B82BCE">
        <w:rPr>
          <w:sz w:val="24"/>
          <w:szCs w:val="24"/>
          <w:lang w:val="fr-BE"/>
        </w:rPr>
        <w:t xml:space="preserve"> sur les questions liées aux enjeux électoraux;</w:t>
      </w:r>
    </w:p>
    <w:p w14:paraId="64B6208B" w14:textId="77777777" w:rsidR="00B82BCE" w:rsidRPr="00B82BCE" w:rsidRDefault="00B82BCE" w:rsidP="00B82BCE">
      <w:pPr>
        <w:numPr>
          <w:ilvl w:val="0"/>
          <w:numId w:val="25"/>
        </w:numPr>
        <w:ind w:left="142" w:hanging="142"/>
        <w:jc w:val="both"/>
        <w:rPr>
          <w:sz w:val="24"/>
          <w:szCs w:val="24"/>
          <w:lang w:val="fr-BE"/>
        </w:rPr>
      </w:pPr>
      <w:r w:rsidRPr="00B82BCE">
        <w:rPr>
          <w:sz w:val="24"/>
          <w:szCs w:val="24"/>
          <w:lang w:val="fr-BE"/>
        </w:rPr>
        <w:t xml:space="preserve">Appuyer les missions d’observation de la </w:t>
      </w:r>
      <w:proofErr w:type="spellStart"/>
      <w:r w:rsidRPr="00B82BCE">
        <w:rPr>
          <w:sz w:val="24"/>
          <w:szCs w:val="24"/>
          <w:lang w:val="fr-BE"/>
        </w:rPr>
        <w:t>CNIDH</w:t>
      </w:r>
      <w:proofErr w:type="spellEnd"/>
      <w:r w:rsidRPr="00B82BCE">
        <w:rPr>
          <w:sz w:val="24"/>
          <w:szCs w:val="24"/>
          <w:lang w:val="fr-BE"/>
        </w:rPr>
        <w:t xml:space="preserve"> du processus électoral.</w:t>
      </w:r>
    </w:p>
    <w:p w14:paraId="3A0B6ACF" w14:textId="77777777" w:rsidR="00B82BCE" w:rsidRPr="00B82BCE" w:rsidRDefault="00B82BCE" w:rsidP="00B82BCE">
      <w:pPr>
        <w:ind w:left="142" w:hanging="142"/>
        <w:jc w:val="both"/>
        <w:rPr>
          <w:sz w:val="24"/>
          <w:szCs w:val="24"/>
          <w:lang w:val="fr-BE"/>
        </w:rPr>
      </w:pPr>
    </w:p>
    <w:p w14:paraId="630D59C5" w14:textId="77777777" w:rsidR="00B82BCE" w:rsidRPr="00B82BCE" w:rsidRDefault="00B82BCE" w:rsidP="00B82BCE">
      <w:pPr>
        <w:jc w:val="both"/>
        <w:rPr>
          <w:i/>
          <w:sz w:val="24"/>
          <w:szCs w:val="24"/>
          <w:lang w:val="fr-BE"/>
        </w:rPr>
      </w:pPr>
      <w:r w:rsidRPr="00B82BCE">
        <w:rPr>
          <w:sz w:val="24"/>
          <w:szCs w:val="24"/>
          <w:lang w:val="fr-BE"/>
        </w:rPr>
        <w:t xml:space="preserve">Activités liées au produit 3.1 </w:t>
      </w:r>
      <w:r w:rsidRPr="00B82BCE">
        <w:rPr>
          <w:i/>
          <w:sz w:val="24"/>
          <w:szCs w:val="24"/>
          <w:lang w:val="fr-BE"/>
        </w:rPr>
        <w:t xml:space="preserve">Les capacités des partis politiques en matière de droits de l’homme, questions de genre, </w:t>
      </w:r>
      <w:proofErr w:type="spellStart"/>
      <w:r w:rsidRPr="00B82BCE">
        <w:rPr>
          <w:i/>
          <w:sz w:val="24"/>
          <w:szCs w:val="24"/>
          <w:lang w:val="fr-BE"/>
        </w:rPr>
        <w:t>inclusivité</w:t>
      </w:r>
      <w:proofErr w:type="spellEnd"/>
      <w:r w:rsidRPr="00B82BCE">
        <w:rPr>
          <w:i/>
          <w:sz w:val="24"/>
          <w:szCs w:val="24"/>
          <w:lang w:val="fr-BE"/>
        </w:rPr>
        <w:t>, programmation, communication électorale sont renforcées.</w:t>
      </w:r>
    </w:p>
    <w:p w14:paraId="1239BADA" w14:textId="77777777" w:rsidR="00B82BCE" w:rsidRPr="00B82BCE" w:rsidRDefault="00B82BCE" w:rsidP="00B82BCE">
      <w:pPr>
        <w:jc w:val="both"/>
        <w:rPr>
          <w:i/>
          <w:sz w:val="24"/>
          <w:szCs w:val="24"/>
          <w:lang w:val="fr-BE"/>
        </w:rPr>
      </w:pPr>
    </w:p>
    <w:p w14:paraId="4BC20055" w14:textId="77777777" w:rsidR="00B82BCE" w:rsidRPr="00B82BCE" w:rsidRDefault="00B82BCE" w:rsidP="00B82BCE">
      <w:pPr>
        <w:jc w:val="both"/>
        <w:rPr>
          <w:sz w:val="24"/>
          <w:szCs w:val="24"/>
          <w:lang w:val="fr-BE"/>
        </w:rPr>
      </w:pPr>
      <w:r w:rsidRPr="00B82BCE">
        <w:rPr>
          <w:i/>
          <w:sz w:val="24"/>
          <w:szCs w:val="24"/>
          <w:lang w:val="fr-BE"/>
        </w:rPr>
        <w:t xml:space="preserve">- </w:t>
      </w:r>
      <w:r w:rsidRPr="00B82BCE">
        <w:rPr>
          <w:sz w:val="24"/>
          <w:szCs w:val="24"/>
          <w:lang w:val="fr-BE"/>
        </w:rPr>
        <w:t>Sensibiliser les partis politiques quant aux engagements internationaux du Gouvernement du Burundi, notamment en matière de droits humains, d’élections démocratiques, des questions de genre, etc.;</w:t>
      </w:r>
    </w:p>
    <w:p w14:paraId="6C938D20" w14:textId="77777777" w:rsidR="00B82BCE" w:rsidRPr="00B82BCE" w:rsidRDefault="00B82BCE" w:rsidP="00B82BCE">
      <w:pPr>
        <w:jc w:val="both"/>
        <w:rPr>
          <w:sz w:val="24"/>
          <w:szCs w:val="24"/>
          <w:lang w:val="fr-BE"/>
        </w:rPr>
      </w:pPr>
      <w:r w:rsidRPr="00B82BCE">
        <w:rPr>
          <w:sz w:val="24"/>
          <w:szCs w:val="24"/>
          <w:lang w:val="fr-BE"/>
        </w:rPr>
        <w:t>- Sensibiliser les partis politiques quant à l’implication des groupes vulnérables, notamment les femmes et les jeunes, dans la vie interne aux partis, ainsi qu’à leur participation active aux scrutins;</w:t>
      </w:r>
    </w:p>
    <w:p w14:paraId="7399F311" w14:textId="77777777" w:rsidR="00B82BCE" w:rsidRPr="00B82BCE" w:rsidRDefault="00B82BCE" w:rsidP="00B82BCE">
      <w:pPr>
        <w:jc w:val="both"/>
        <w:rPr>
          <w:sz w:val="24"/>
          <w:szCs w:val="24"/>
          <w:lang w:val="fr-BE"/>
        </w:rPr>
      </w:pPr>
      <w:r w:rsidRPr="00B82BCE">
        <w:rPr>
          <w:sz w:val="24"/>
          <w:szCs w:val="24"/>
          <w:lang w:val="fr-BE"/>
        </w:rPr>
        <w:t>- Renforcer les capacités des acteurs politiques à élaborer des programmes et des messages à destination des citoyens burundais en période électorale;</w:t>
      </w:r>
    </w:p>
    <w:p w14:paraId="740EC97C" w14:textId="77777777" w:rsidR="00B82BCE" w:rsidRPr="00B82BCE" w:rsidRDefault="00B82BCE" w:rsidP="00B82BCE">
      <w:pPr>
        <w:jc w:val="both"/>
        <w:rPr>
          <w:sz w:val="24"/>
          <w:szCs w:val="24"/>
          <w:lang w:val="fr-BE"/>
        </w:rPr>
      </w:pPr>
      <w:r w:rsidRPr="00B82BCE">
        <w:rPr>
          <w:sz w:val="24"/>
          <w:szCs w:val="24"/>
          <w:lang w:val="fr-BE"/>
        </w:rPr>
        <w:t>- Organiser des ateliers destinés aux acteurs politiques sur le renforcement des capacités pour appuyer le caractère inclusif du processus électoral, ainsi que la participation des femmes et des jeunes.</w:t>
      </w:r>
    </w:p>
    <w:p w14:paraId="7654930E" w14:textId="77777777" w:rsidR="00B82BCE" w:rsidRPr="00B82BCE" w:rsidRDefault="00B82BCE" w:rsidP="00B82BCE">
      <w:pPr>
        <w:jc w:val="both"/>
        <w:rPr>
          <w:sz w:val="24"/>
          <w:szCs w:val="24"/>
          <w:lang w:val="fr-BE"/>
        </w:rPr>
      </w:pPr>
    </w:p>
    <w:p w14:paraId="259A676A" w14:textId="77777777" w:rsidR="00B82BCE" w:rsidRPr="00B82BCE" w:rsidRDefault="00B82BCE" w:rsidP="00B82BCE">
      <w:pPr>
        <w:jc w:val="both"/>
        <w:rPr>
          <w:sz w:val="24"/>
          <w:szCs w:val="24"/>
          <w:lang w:val="fr-BE"/>
        </w:rPr>
      </w:pPr>
      <w:r w:rsidRPr="00B82BCE">
        <w:rPr>
          <w:sz w:val="24"/>
          <w:szCs w:val="24"/>
          <w:lang w:val="fr-BE"/>
        </w:rPr>
        <w:t xml:space="preserve">Activités liées au produit 4.1 </w:t>
      </w:r>
      <w:r w:rsidRPr="00B82BCE">
        <w:rPr>
          <w:i/>
          <w:sz w:val="24"/>
          <w:szCs w:val="24"/>
          <w:lang w:val="fr-BE"/>
        </w:rPr>
        <w:t>Les capacités du secteur des médias pour promouvoir un environnement libre, pluraliste et indépendant, y compris en période d’élections, sont renforcées.</w:t>
      </w:r>
    </w:p>
    <w:p w14:paraId="2F7E1391" w14:textId="77777777" w:rsidR="00B82BCE" w:rsidRPr="00B82BCE" w:rsidRDefault="00B82BCE" w:rsidP="00B82BCE">
      <w:pPr>
        <w:jc w:val="both"/>
        <w:rPr>
          <w:sz w:val="24"/>
          <w:szCs w:val="24"/>
          <w:lang w:val="fr-BE"/>
        </w:rPr>
      </w:pPr>
    </w:p>
    <w:p w14:paraId="12C17526" w14:textId="3590F285" w:rsidR="00B82BCE" w:rsidRPr="00B82BCE" w:rsidRDefault="00B82BCE" w:rsidP="00B82BCE">
      <w:pPr>
        <w:numPr>
          <w:ilvl w:val="0"/>
          <w:numId w:val="24"/>
        </w:numPr>
        <w:ind w:left="284" w:hanging="284"/>
        <w:jc w:val="both"/>
        <w:rPr>
          <w:sz w:val="24"/>
          <w:szCs w:val="24"/>
          <w:lang w:val="fr-BE"/>
        </w:rPr>
      </w:pPr>
      <w:r w:rsidRPr="00B82BCE">
        <w:rPr>
          <w:sz w:val="24"/>
          <w:szCs w:val="24"/>
          <w:lang w:val="fr-BE"/>
        </w:rPr>
        <w:t>Renforcer les capacités techniques et opérationnelles des médias en vue des élections de 2025;</w:t>
      </w:r>
    </w:p>
    <w:p w14:paraId="22B7F39F" w14:textId="77777777" w:rsidR="00B82BCE" w:rsidRPr="00B82BCE" w:rsidRDefault="00B82BCE" w:rsidP="00B82BCE">
      <w:pPr>
        <w:numPr>
          <w:ilvl w:val="0"/>
          <w:numId w:val="24"/>
        </w:numPr>
        <w:ind w:left="284" w:hanging="284"/>
        <w:jc w:val="both"/>
        <w:rPr>
          <w:sz w:val="24"/>
          <w:szCs w:val="24"/>
          <w:lang w:val="fr-BE"/>
        </w:rPr>
      </w:pPr>
      <w:r w:rsidRPr="00B82BCE">
        <w:rPr>
          <w:sz w:val="24"/>
          <w:szCs w:val="24"/>
          <w:lang w:val="fr-BE"/>
        </w:rPr>
        <w:t xml:space="preserve">Élaborer le manuel du journaliste Burundais et des grands principes de déontologie (y compris les aspects genre et droits humains) avec un focus particulier sur la période électorale, organisation d’ateliers sur les principes déontologiques pour les journalistes qui diffusent les informations sur les réseaux sociaux; </w:t>
      </w:r>
    </w:p>
    <w:p w14:paraId="0609D2D0" w14:textId="77777777" w:rsidR="00B82BCE" w:rsidRPr="00B82BCE" w:rsidRDefault="00B82BCE" w:rsidP="00B82BCE">
      <w:pPr>
        <w:numPr>
          <w:ilvl w:val="0"/>
          <w:numId w:val="24"/>
        </w:numPr>
        <w:ind w:left="284" w:hanging="284"/>
        <w:jc w:val="both"/>
        <w:rPr>
          <w:sz w:val="24"/>
          <w:szCs w:val="24"/>
          <w:lang w:val="fr-BE"/>
        </w:rPr>
      </w:pPr>
      <w:r w:rsidRPr="00B82BCE">
        <w:rPr>
          <w:sz w:val="24"/>
          <w:szCs w:val="24"/>
          <w:lang w:val="fr-BE"/>
        </w:rPr>
        <w:t>Organiser des ateliers pour les médias et professionnels de l’information pour les doter des outils et connaissances pour couvrir des informations sensibles au genre et aux jeunes;</w:t>
      </w:r>
    </w:p>
    <w:p w14:paraId="41E923F1" w14:textId="77777777" w:rsidR="00B82BCE" w:rsidRPr="00B82BCE" w:rsidRDefault="00B82BCE" w:rsidP="00B82BCE">
      <w:pPr>
        <w:numPr>
          <w:ilvl w:val="0"/>
          <w:numId w:val="24"/>
        </w:numPr>
        <w:ind w:left="284" w:hanging="284"/>
        <w:jc w:val="both"/>
        <w:rPr>
          <w:sz w:val="24"/>
          <w:szCs w:val="24"/>
          <w:lang w:val="fr-BE"/>
        </w:rPr>
      </w:pPr>
      <w:r w:rsidRPr="00B82BCE">
        <w:rPr>
          <w:sz w:val="24"/>
          <w:szCs w:val="24"/>
          <w:lang w:val="fr-BE"/>
        </w:rPr>
        <w:t xml:space="preserve">Renforcer les capacités des médias (journalistes, blogueurs et « communicateurs ») afin qu’ils s’organisent de manière professionnelle, indépendante et crédible lors de la couverture des élections, y compris avec la mise en place d’un système d’identification et de démenti des « </w:t>
      </w:r>
      <w:proofErr w:type="spellStart"/>
      <w:r w:rsidRPr="00B82BCE">
        <w:rPr>
          <w:sz w:val="24"/>
          <w:szCs w:val="24"/>
          <w:lang w:val="fr-BE"/>
        </w:rPr>
        <w:t>fake</w:t>
      </w:r>
      <w:proofErr w:type="spellEnd"/>
      <w:r w:rsidRPr="00B82BCE">
        <w:rPr>
          <w:sz w:val="24"/>
          <w:szCs w:val="24"/>
          <w:lang w:val="fr-BE"/>
        </w:rPr>
        <w:t xml:space="preserve"> news » et d’une association de journalistes;</w:t>
      </w:r>
    </w:p>
    <w:p w14:paraId="2814BF1A" w14:textId="77777777" w:rsidR="00B82BCE" w:rsidRPr="00B82BCE" w:rsidRDefault="00B82BCE" w:rsidP="00B82BCE">
      <w:pPr>
        <w:jc w:val="both"/>
        <w:rPr>
          <w:sz w:val="24"/>
          <w:szCs w:val="24"/>
          <w:lang w:val="fr-BE"/>
        </w:rPr>
      </w:pPr>
    </w:p>
    <w:p w14:paraId="3EF40729" w14:textId="3E5AAFF3" w:rsidR="00B82BCE" w:rsidRPr="00B82BCE" w:rsidRDefault="00967F38" w:rsidP="00B82BCE">
      <w:pPr>
        <w:jc w:val="both"/>
        <w:rPr>
          <w:sz w:val="24"/>
          <w:szCs w:val="24"/>
          <w:lang w:val="fr-BE"/>
        </w:rPr>
      </w:pPr>
      <w:r>
        <w:rPr>
          <w:sz w:val="24"/>
          <w:szCs w:val="24"/>
          <w:lang w:val="fr-BE"/>
        </w:rPr>
        <w:t xml:space="preserve">Activité liée au produit 4.2 </w:t>
      </w:r>
      <w:r w:rsidR="00B82BCE" w:rsidRPr="00B82BCE">
        <w:rPr>
          <w:i/>
          <w:sz w:val="24"/>
          <w:szCs w:val="24"/>
          <w:lang w:val="fr-BE"/>
        </w:rPr>
        <w:t xml:space="preserve">Les capacités du </w:t>
      </w:r>
      <w:proofErr w:type="spellStart"/>
      <w:r w:rsidR="00B82BCE" w:rsidRPr="00B82BCE">
        <w:rPr>
          <w:i/>
          <w:sz w:val="24"/>
          <w:szCs w:val="24"/>
          <w:lang w:val="fr-BE"/>
        </w:rPr>
        <w:t>CNC</w:t>
      </w:r>
      <w:proofErr w:type="spellEnd"/>
      <w:r w:rsidR="00B82BCE" w:rsidRPr="00B82BCE">
        <w:rPr>
          <w:i/>
          <w:sz w:val="24"/>
          <w:szCs w:val="24"/>
          <w:lang w:val="fr-BE"/>
        </w:rPr>
        <w:t xml:space="preserve"> sont renforcées afin de garantir un environnement des médias libre, pluraliste, indépendant et propice à la cohésion sociale</w:t>
      </w:r>
    </w:p>
    <w:p w14:paraId="32C38B02" w14:textId="77777777" w:rsidR="00B82BCE" w:rsidRPr="00B82BCE" w:rsidRDefault="00B82BCE" w:rsidP="00B82BCE">
      <w:pPr>
        <w:jc w:val="both"/>
        <w:rPr>
          <w:sz w:val="24"/>
          <w:szCs w:val="24"/>
          <w:lang w:val="fr-BE"/>
        </w:rPr>
      </w:pPr>
    </w:p>
    <w:p w14:paraId="12B8A0C6" w14:textId="77777777" w:rsidR="00B82BCE" w:rsidRPr="00B82BCE" w:rsidRDefault="00B82BCE" w:rsidP="00967F38">
      <w:pPr>
        <w:numPr>
          <w:ilvl w:val="0"/>
          <w:numId w:val="24"/>
        </w:numPr>
        <w:ind w:left="284" w:hanging="284"/>
        <w:jc w:val="both"/>
        <w:rPr>
          <w:sz w:val="24"/>
          <w:szCs w:val="24"/>
          <w:lang w:val="fr-BE"/>
        </w:rPr>
      </w:pPr>
      <w:r w:rsidRPr="00B82BCE">
        <w:rPr>
          <w:sz w:val="24"/>
          <w:szCs w:val="24"/>
          <w:lang w:val="fr-BE"/>
        </w:rPr>
        <w:t xml:space="preserve">Appuyer le </w:t>
      </w:r>
      <w:proofErr w:type="spellStart"/>
      <w:r w:rsidRPr="00B82BCE">
        <w:rPr>
          <w:sz w:val="24"/>
          <w:szCs w:val="24"/>
          <w:lang w:val="fr-BE"/>
        </w:rPr>
        <w:t>CNC</w:t>
      </w:r>
      <w:proofErr w:type="spellEnd"/>
      <w:r w:rsidRPr="00B82BCE">
        <w:rPr>
          <w:sz w:val="24"/>
          <w:szCs w:val="24"/>
          <w:lang w:val="fr-BE"/>
        </w:rPr>
        <w:t xml:space="preserve"> dans sa mission de suivi des media traditionnels, électroniques et réseaux sociaux tout au long du processus électoral.</w:t>
      </w:r>
    </w:p>
    <w:p w14:paraId="4FE5A138" w14:textId="77777777" w:rsidR="00B82BCE" w:rsidRPr="00516696" w:rsidRDefault="00B82BCE" w:rsidP="005D58EE">
      <w:pPr>
        <w:jc w:val="both"/>
        <w:rPr>
          <w:sz w:val="24"/>
          <w:szCs w:val="24"/>
          <w:lang w:val="fr-BE"/>
        </w:rPr>
      </w:pPr>
    </w:p>
    <w:p w14:paraId="1C4B6E68" w14:textId="0299FDB6" w:rsidR="005D7A10" w:rsidRPr="004B3C7E" w:rsidRDefault="005D7A10" w:rsidP="00B46F6F">
      <w:pPr>
        <w:pStyle w:val="Heading2"/>
        <w:numPr>
          <w:ilvl w:val="0"/>
          <w:numId w:val="15"/>
        </w:numPr>
        <w:rPr>
          <w:rFonts w:ascii="Times New Roman" w:hAnsi="Times New Roman" w:cs="Times New Roman"/>
          <w:color w:val="auto"/>
          <w:sz w:val="28"/>
          <w:szCs w:val="28"/>
          <w:u w:color="000090"/>
        </w:rPr>
      </w:pPr>
      <w:bookmarkStart w:id="2" w:name="_Toc151566930"/>
      <w:r w:rsidRPr="004B3C7E">
        <w:rPr>
          <w:rFonts w:ascii="Times New Roman" w:hAnsi="Times New Roman" w:cs="Times New Roman"/>
          <w:color w:val="auto"/>
          <w:sz w:val="28"/>
          <w:szCs w:val="28"/>
          <w:u w:color="000090"/>
        </w:rPr>
        <w:t>Logique d'opérationnalisation et d’intervention</w:t>
      </w:r>
      <w:bookmarkEnd w:id="2"/>
    </w:p>
    <w:p w14:paraId="2370F79B" w14:textId="77777777" w:rsidR="00B46F6F" w:rsidRPr="00B46F6F" w:rsidRDefault="00B46F6F" w:rsidP="00B46F6F">
      <w:pPr>
        <w:pStyle w:val="ListParagraph"/>
        <w:widowControl/>
        <w:autoSpaceDE/>
        <w:autoSpaceDN/>
        <w:spacing w:before="40" w:after="60"/>
        <w:ind w:left="0" w:right="-79" w:firstLine="0"/>
        <w:contextualSpacing/>
        <w:rPr>
          <w:sz w:val="24"/>
          <w:szCs w:val="24"/>
        </w:rPr>
      </w:pPr>
      <w:r w:rsidRPr="00B46F6F">
        <w:rPr>
          <w:sz w:val="24"/>
          <w:szCs w:val="24"/>
        </w:rPr>
        <w:t>La logique d’intervention sous-jacente pour cette action est de contribuer à l’organisation d’élections crédibles, transparentes, inclusives et apaisées au Burundi, ce qui se décline à travers une série d’objectifs spécifiques. L’action se base sur les recommandations de l’évaluation finale du programme de renforcement de la culture démocratique et de l’état de droit (2019-2021).</w:t>
      </w:r>
    </w:p>
    <w:p w14:paraId="3FD7BD04" w14:textId="35A276CB" w:rsidR="00B46F6F" w:rsidRPr="00B46F6F" w:rsidRDefault="00B46F6F" w:rsidP="00B46F6F">
      <w:pPr>
        <w:pStyle w:val="ListParagraph"/>
        <w:widowControl/>
        <w:autoSpaceDE/>
        <w:autoSpaceDN/>
        <w:spacing w:before="40" w:after="60"/>
        <w:ind w:left="0" w:right="-79" w:firstLine="0"/>
        <w:contextualSpacing/>
        <w:rPr>
          <w:sz w:val="24"/>
          <w:szCs w:val="24"/>
        </w:rPr>
      </w:pPr>
      <w:r w:rsidRPr="00B46F6F">
        <w:rPr>
          <w:b/>
          <w:sz w:val="24"/>
          <w:szCs w:val="24"/>
        </w:rPr>
        <w:t>SI</w:t>
      </w:r>
      <w:r w:rsidRPr="00B46F6F">
        <w:rPr>
          <w:sz w:val="24"/>
          <w:szCs w:val="24"/>
        </w:rPr>
        <w:t xml:space="preserve"> le Gouvernement du Burundi s’engage à prendre les mesures requises pour remplir ses obligations relatives à l’organisation d’élections démocratiques, crédibles, transparentes et inclusives et à protéger les droits et les libertés fondamentales; s’il y a un renforcement des capacités des organes qui ont des compétences en matière électorale (CENI, </w:t>
      </w:r>
      <w:proofErr w:type="spellStart"/>
      <w:r w:rsidRPr="00B46F6F">
        <w:rPr>
          <w:sz w:val="24"/>
          <w:szCs w:val="24"/>
        </w:rPr>
        <w:t>CNC</w:t>
      </w:r>
      <w:proofErr w:type="spellEnd"/>
      <w:r w:rsidRPr="00B46F6F">
        <w:rPr>
          <w:sz w:val="24"/>
          <w:szCs w:val="24"/>
        </w:rPr>
        <w:t xml:space="preserve">, </w:t>
      </w:r>
      <w:proofErr w:type="spellStart"/>
      <w:r w:rsidRPr="00B46F6F">
        <w:rPr>
          <w:sz w:val="24"/>
          <w:szCs w:val="24"/>
        </w:rPr>
        <w:t>CNIDH</w:t>
      </w:r>
      <w:proofErr w:type="spellEnd"/>
      <w:r w:rsidRPr="00B46F6F">
        <w:rPr>
          <w:sz w:val="24"/>
          <w:szCs w:val="24"/>
        </w:rPr>
        <w:t>, Ombudsman, Cour constitutionnelle, Cour suprême); si le cadre légal qui régit l’organisation des élections est amélioré</w:t>
      </w:r>
      <w:r w:rsidR="00057B35">
        <w:rPr>
          <w:sz w:val="24"/>
          <w:szCs w:val="24"/>
        </w:rPr>
        <w:t xml:space="preserve"> et l’ensemble des dispositions mises en place par la CENI</w:t>
      </w:r>
      <w:r w:rsidRPr="00B46F6F">
        <w:rPr>
          <w:sz w:val="24"/>
          <w:szCs w:val="24"/>
        </w:rPr>
        <w:t xml:space="preserve"> ne constituent pas des entraves à la liberté d’observer tous les aspects du processus électoral en tout endroit et à tout moment; si l’observation citoyenne est organisée de manière à renforcer significativement la transparence du processus électoral ainsi que la confiance du public dans son intégrité; s’il y a un dialogue entre les citoyens et les gouvernants au niveau national et local; si la capacité des citoyens et des acteurs intermédiaires (</w:t>
      </w:r>
      <w:proofErr w:type="spellStart"/>
      <w:r w:rsidRPr="00B46F6F">
        <w:rPr>
          <w:sz w:val="24"/>
          <w:szCs w:val="24"/>
        </w:rPr>
        <w:t>OSC</w:t>
      </w:r>
      <w:proofErr w:type="spellEnd"/>
      <w:r w:rsidRPr="00B46F6F">
        <w:rPr>
          <w:sz w:val="24"/>
          <w:szCs w:val="24"/>
        </w:rPr>
        <w:t xml:space="preserve">, syndicats, églises, médias, etc.) est renforcée pour créer des fora, des réseaux et des coalitions; si les </w:t>
      </w:r>
      <w:proofErr w:type="spellStart"/>
      <w:r w:rsidRPr="00B46F6F">
        <w:rPr>
          <w:sz w:val="24"/>
          <w:szCs w:val="24"/>
        </w:rPr>
        <w:t>OSC</w:t>
      </w:r>
      <w:proofErr w:type="spellEnd"/>
      <w:r w:rsidRPr="00B46F6F">
        <w:rPr>
          <w:sz w:val="24"/>
          <w:szCs w:val="24"/>
        </w:rPr>
        <w:t xml:space="preserve"> et les médias s’engagent dans une approche déontologique respectant les principes de transparence, redevabilité et non-discrimination; si la participation citoyenne et l’implication des jeunes et des femmes est améliorée au niveau national et local, tenant compte du contexte historique et social du Burundi; et si l’accès des citoyens à une information de qualité, non discriminatoire, neutre est renforcée;</w:t>
      </w:r>
    </w:p>
    <w:p w14:paraId="527B15C6" w14:textId="34B42323" w:rsidR="00B46F6F" w:rsidRPr="00B46F6F" w:rsidRDefault="00B46F6F" w:rsidP="00B46F6F">
      <w:pPr>
        <w:pStyle w:val="ListParagraph"/>
        <w:widowControl/>
        <w:autoSpaceDE/>
        <w:autoSpaceDN/>
        <w:spacing w:before="40" w:after="60"/>
        <w:ind w:left="0" w:right="-79" w:firstLine="0"/>
        <w:contextualSpacing/>
        <w:rPr>
          <w:sz w:val="24"/>
          <w:szCs w:val="24"/>
        </w:rPr>
      </w:pPr>
      <w:r w:rsidRPr="00B82BCE">
        <w:rPr>
          <w:b/>
          <w:sz w:val="24"/>
        </w:rPr>
        <w:t>ALORS</w:t>
      </w:r>
      <w:r w:rsidRPr="00B46F6F">
        <w:rPr>
          <w:sz w:val="24"/>
          <w:szCs w:val="24"/>
        </w:rPr>
        <w:t>, les principes de transparence, non-discrimination, redevabilité et participation seront mieux intégrés dans les institutions du Burundi et dans l’organisation des élections de 2025 et l’action publique dans les sect</w:t>
      </w:r>
      <w:r w:rsidR="00460AD0">
        <w:rPr>
          <w:sz w:val="24"/>
          <w:szCs w:val="24"/>
        </w:rPr>
        <w:t>eurs importants</w:t>
      </w:r>
      <w:r w:rsidRPr="00B46F6F">
        <w:rPr>
          <w:sz w:val="24"/>
          <w:szCs w:val="24"/>
        </w:rPr>
        <w:t xml:space="preserve"> pour la coopération UE sera plus efficace et efficiente.</w:t>
      </w:r>
    </w:p>
    <w:p w14:paraId="2AB1BE40" w14:textId="56FF262B" w:rsidR="008870EF" w:rsidRPr="00516696" w:rsidRDefault="00B46F6F" w:rsidP="00B46F6F">
      <w:pPr>
        <w:pStyle w:val="ListParagraph"/>
        <w:widowControl/>
        <w:autoSpaceDE/>
        <w:autoSpaceDN/>
        <w:spacing w:before="40" w:after="60"/>
        <w:ind w:left="0" w:right="-79" w:firstLine="0"/>
        <w:contextualSpacing/>
        <w:rPr>
          <w:sz w:val="24"/>
          <w:szCs w:val="24"/>
          <w:lang w:eastAsia="en-GB"/>
        </w:rPr>
      </w:pPr>
      <w:r w:rsidRPr="00B46F6F">
        <w:rPr>
          <w:sz w:val="24"/>
          <w:szCs w:val="24"/>
        </w:rPr>
        <w:t>L’action a été conçue pour permettre de renforcer le dialogue politique de l’Équipe Europe au Burundi. Elle est complémentaire au programme de l’Union européenne d’appui au secteur de la justice qui va contribuer à renforcer les capacités de la Cour constitutionnelle et de la Cour suprême, deux des cinq institutions qui ont compétence en matière électorale, et au projet «</w:t>
      </w:r>
      <w:proofErr w:type="spellStart"/>
      <w:r w:rsidRPr="00B46F6F">
        <w:rPr>
          <w:sz w:val="24"/>
          <w:szCs w:val="24"/>
        </w:rPr>
        <w:t>Foundations</w:t>
      </w:r>
      <w:proofErr w:type="spellEnd"/>
      <w:r w:rsidRPr="00B46F6F">
        <w:rPr>
          <w:sz w:val="24"/>
          <w:szCs w:val="24"/>
        </w:rPr>
        <w:t xml:space="preserve"> for inclusive and </w:t>
      </w:r>
      <w:proofErr w:type="spellStart"/>
      <w:r w:rsidRPr="00B46F6F">
        <w:rPr>
          <w:sz w:val="24"/>
          <w:szCs w:val="24"/>
        </w:rPr>
        <w:t>peaceful</w:t>
      </w:r>
      <w:proofErr w:type="spellEnd"/>
      <w:r w:rsidRPr="00B46F6F">
        <w:rPr>
          <w:sz w:val="24"/>
          <w:szCs w:val="24"/>
        </w:rPr>
        <w:t xml:space="preserve"> </w:t>
      </w:r>
      <w:proofErr w:type="spellStart"/>
      <w:r w:rsidRPr="00B46F6F">
        <w:rPr>
          <w:sz w:val="24"/>
          <w:szCs w:val="24"/>
        </w:rPr>
        <w:t>politics</w:t>
      </w:r>
      <w:proofErr w:type="spellEnd"/>
      <w:r w:rsidRPr="00B46F6F">
        <w:rPr>
          <w:sz w:val="24"/>
          <w:szCs w:val="24"/>
        </w:rPr>
        <w:t xml:space="preserve"> in Burundi- </w:t>
      </w:r>
      <w:proofErr w:type="spellStart"/>
      <w:r w:rsidRPr="00B46F6F">
        <w:rPr>
          <w:sz w:val="24"/>
          <w:szCs w:val="24"/>
        </w:rPr>
        <w:t>towards</w:t>
      </w:r>
      <w:proofErr w:type="spellEnd"/>
      <w:r w:rsidRPr="00B46F6F">
        <w:rPr>
          <w:sz w:val="24"/>
          <w:szCs w:val="24"/>
        </w:rPr>
        <w:t xml:space="preserve"> 2025 </w:t>
      </w:r>
      <w:proofErr w:type="spellStart"/>
      <w:r w:rsidRPr="00B46F6F">
        <w:rPr>
          <w:sz w:val="24"/>
          <w:szCs w:val="24"/>
        </w:rPr>
        <w:t>elections</w:t>
      </w:r>
      <w:proofErr w:type="spellEnd"/>
      <w:r w:rsidRPr="00B46F6F">
        <w:rPr>
          <w:sz w:val="24"/>
          <w:szCs w:val="24"/>
        </w:rPr>
        <w:t xml:space="preserve"> » (2022-2027) financé par l’Ambassade des Pays Bas et mis en </w:t>
      </w:r>
      <w:proofErr w:type="spellStart"/>
      <w:r w:rsidRPr="00B46F6F">
        <w:rPr>
          <w:sz w:val="24"/>
          <w:szCs w:val="24"/>
        </w:rPr>
        <w:t>oeuvre</w:t>
      </w:r>
      <w:proofErr w:type="spellEnd"/>
      <w:r w:rsidRPr="00B46F6F">
        <w:rPr>
          <w:sz w:val="24"/>
          <w:szCs w:val="24"/>
        </w:rPr>
        <w:t xml:space="preserve"> par le </w:t>
      </w:r>
      <w:proofErr w:type="spellStart"/>
      <w:r w:rsidRPr="00B46F6F">
        <w:rPr>
          <w:sz w:val="24"/>
          <w:szCs w:val="24"/>
        </w:rPr>
        <w:t>Netherlands</w:t>
      </w:r>
      <w:proofErr w:type="spellEnd"/>
      <w:r w:rsidRPr="00B46F6F">
        <w:rPr>
          <w:sz w:val="24"/>
          <w:szCs w:val="24"/>
        </w:rPr>
        <w:t xml:space="preserve"> Institute for </w:t>
      </w:r>
      <w:proofErr w:type="spellStart"/>
      <w:r w:rsidRPr="00B46F6F">
        <w:rPr>
          <w:sz w:val="24"/>
          <w:szCs w:val="24"/>
        </w:rPr>
        <w:t>Multiparty</w:t>
      </w:r>
      <w:proofErr w:type="spellEnd"/>
      <w:r w:rsidRPr="00B46F6F">
        <w:rPr>
          <w:sz w:val="24"/>
          <w:szCs w:val="24"/>
        </w:rPr>
        <w:t xml:space="preserve"> </w:t>
      </w:r>
      <w:proofErr w:type="spellStart"/>
      <w:r w:rsidRPr="00B46F6F">
        <w:rPr>
          <w:sz w:val="24"/>
          <w:szCs w:val="24"/>
        </w:rPr>
        <w:t>Democracy</w:t>
      </w:r>
      <w:proofErr w:type="spellEnd"/>
      <w:r w:rsidRPr="00B46F6F">
        <w:rPr>
          <w:sz w:val="24"/>
          <w:szCs w:val="24"/>
        </w:rPr>
        <w:t xml:space="preserve"> (</w:t>
      </w:r>
      <w:proofErr w:type="spellStart"/>
      <w:r w:rsidRPr="00B46F6F">
        <w:rPr>
          <w:sz w:val="24"/>
          <w:szCs w:val="24"/>
        </w:rPr>
        <w:t>NIMD</w:t>
      </w:r>
      <w:proofErr w:type="spellEnd"/>
      <w:r w:rsidRPr="00B46F6F">
        <w:rPr>
          <w:sz w:val="24"/>
          <w:szCs w:val="24"/>
        </w:rPr>
        <w:t>) et le Burundi Leadership Training Programme, et au programme régional de la Coopération suisse d’appui aux médias. En particulier, la stratégie de l’action est fondée sur une approche multidimensionnelle et vise à soutenir à la fois les organes et les institutions étatiques, les organisations de la société civile et les médias, en vue de faciliter l’organisation d’élections crédibles, inclusives, et apaisées.</w:t>
      </w:r>
    </w:p>
    <w:p w14:paraId="1E4BF624" w14:textId="66397978" w:rsidR="005E354D" w:rsidRPr="004B3C7E" w:rsidRDefault="00AD0FC6" w:rsidP="00AD0FC6">
      <w:pPr>
        <w:pStyle w:val="Heading2"/>
        <w:rPr>
          <w:rFonts w:ascii="Times New Roman" w:hAnsi="Times New Roman" w:cs="Times New Roman"/>
          <w:color w:val="auto"/>
          <w:sz w:val="28"/>
          <w:szCs w:val="28"/>
          <w:u w:color="000090"/>
        </w:rPr>
      </w:pPr>
      <w:r w:rsidRPr="004B3C7E">
        <w:rPr>
          <w:rFonts w:ascii="Times New Roman" w:hAnsi="Times New Roman" w:cs="Times New Roman"/>
          <w:color w:val="auto"/>
          <w:sz w:val="28"/>
          <w:szCs w:val="28"/>
          <w:u w:color="000090"/>
        </w:rPr>
        <w:t>4.</w:t>
      </w:r>
      <w:r w:rsidR="00B27B43" w:rsidRPr="004B3C7E">
        <w:rPr>
          <w:rFonts w:ascii="Times New Roman" w:hAnsi="Times New Roman" w:cs="Times New Roman"/>
          <w:color w:val="auto"/>
          <w:sz w:val="28"/>
          <w:szCs w:val="28"/>
          <w:u w:color="000090"/>
        </w:rPr>
        <w:t xml:space="preserve"> </w:t>
      </w:r>
      <w:bookmarkStart w:id="3" w:name="_Toc151566931"/>
      <w:r w:rsidRPr="004B3C7E">
        <w:rPr>
          <w:rFonts w:ascii="Times New Roman" w:hAnsi="Times New Roman" w:cs="Times New Roman"/>
          <w:color w:val="auto"/>
          <w:sz w:val="28"/>
          <w:szCs w:val="28"/>
          <w:u w:color="000090"/>
        </w:rPr>
        <w:t>Parties prenantes</w:t>
      </w:r>
      <w:bookmarkEnd w:id="3"/>
    </w:p>
    <w:p w14:paraId="7D1DAA9C" w14:textId="182214E3" w:rsidR="00AD0FC6" w:rsidRPr="00AD0FC6" w:rsidRDefault="00AD0FC6" w:rsidP="00AD0FC6">
      <w:pPr>
        <w:pStyle w:val="Heading11"/>
        <w:ind w:left="0" w:firstLine="0"/>
        <w:jc w:val="both"/>
        <w:rPr>
          <w:b w:val="0"/>
          <w:bCs w:val="0"/>
          <w:spacing w:val="-1"/>
          <w:w w:val="105"/>
          <w:sz w:val="24"/>
          <w:szCs w:val="24"/>
        </w:rPr>
      </w:pPr>
      <w:bookmarkStart w:id="4" w:name="_Toc151566932"/>
      <w:r w:rsidRPr="00AD0FC6">
        <w:rPr>
          <w:b w:val="0"/>
          <w:bCs w:val="0"/>
          <w:spacing w:val="-1"/>
          <w:w w:val="105"/>
          <w:sz w:val="24"/>
          <w:szCs w:val="24"/>
        </w:rPr>
        <w:t>Les partenaires dans la mise en œuvre de ce programme seront les suivants:</w:t>
      </w:r>
    </w:p>
    <w:p w14:paraId="76271F59" w14:textId="77777777" w:rsidR="00AD0FC6" w:rsidRPr="00AD0FC6" w:rsidRDefault="00AD0FC6" w:rsidP="00AD0FC6">
      <w:pPr>
        <w:pStyle w:val="Heading11"/>
        <w:ind w:left="0" w:firstLine="0"/>
        <w:jc w:val="both"/>
        <w:rPr>
          <w:b w:val="0"/>
          <w:bCs w:val="0"/>
          <w:spacing w:val="-1"/>
          <w:w w:val="105"/>
          <w:sz w:val="24"/>
          <w:szCs w:val="24"/>
        </w:rPr>
      </w:pPr>
      <w:r w:rsidRPr="00AD0FC6">
        <w:rPr>
          <w:b w:val="0"/>
          <w:bCs w:val="0"/>
          <w:spacing w:val="-1"/>
          <w:w w:val="105"/>
          <w:sz w:val="24"/>
          <w:szCs w:val="24"/>
        </w:rPr>
        <w:t>- Le citoyens burundais, considérés de façon inclusive;</w:t>
      </w:r>
    </w:p>
    <w:p w14:paraId="55EAA320" w14:textId="7DB4C3F0" w:rsidR="00AD0FC6" w:rsidRPr="00AD0FC6" w:rsidRDefault="00AD0FC6" w:rsidP="00AD0FC6">
      <w:pPr>
        <w:pStyle w:val="Heading11"/>
        <w:ind w:left="0" w:firstLine="0"/>
        <w:jc w:val="both"/>
        <w:rPr>
          <w:b w:val="0"/>
          <w:bCs w:val="0"/>
          <w:spacing w:val="-1"/>
          <w:w w:val="105"/>
          <w:sz w:val="24"/>
          <w:szCs w:val="24"/>
        </w:rPr>
      </w:pPr>
      <w:r w:rsidRPr="00AD0FC6">
        <w:rPr>
          <w:b w:val="0"/>
          <w:bCs w:val="0"/>
          <w:spacing w:val="-1"/>
          <w:w w:val="105"/>
          <w:sz w:val="24"/>
          <w:szCs w:val="24"/>
        </w:rPr>
        <w:t>- Les Organisations de la société civile (organisations fémin</w:t>
      </w:r>
      <w:r w:rsidR="00653706">
        <w:rPr>
          <w:b w:val="0"/>
          <w:bCs w:val="0"/>
          <w:spacing w:val="-1"/>
          <w:w w:val="105"/>
          <w:sz w:val="24"/>
          <w:szCs w:val="24"/>
        </w:rPr>
        <w:t xml:space="preserve">ines, organisations des jeunes </w:t>
      </w:r>
      <w:r w:rsidRPr="00AD0FC6">
        <w:rPr>
          <w:b w:val="0"/>
          <w:bCs w:val="0"/>
          <w:spacing w:val="-1"/>
          <w:w w:val="105"/>
          <w:sz w:val="24"/>
          <w:szCs w:val="24"/>
        </w:rPr>
        <w:t xml:space="preserve">y compris le </w:t>
      </w:r>
      <w:proofErr w:type="spellStart"/>
      <w:r>
        <w:rPr>
          <w:b w:val="0"/>
          <w:bCs w:val="0"/>
          <w:spacing w:val="-1"/>
          <w:w w:val="105"/>
          <w:sz w:val="24"/>
          <w:szCs w:val="24"/>
        </w:rPr>
        <w:t>Youth</w:t>
      </w:r>
      <w:proofErr w:type="spellEnd"/>
      <w:r>
        <w:rPr>
          <w:b w:val="0"/>
          <w:bCs w:val="0"/>
          <w:spacing w:val="-1"/>
          <w:w w:val="105"/>
          <w:sz w:val="24"/>
          <w:szCs w:val="24"/>
        </w:rPr>
        <w:t xml:space="preserve"> </w:t>
      </w:r>
      <w:proofErr w:type="spellStart"/>
      <w:r>
        <w:rPr>
          <w:b w:val="0"/>
          <w:bCs w:val="0"/>
          <w:spacing w:val="-1"/>
          <w:w w:val="105"/>
          <w:sz w:val="24"/>
          <w:szCs w:val="24"/>
        </w:rPr>
        <w:t>Sounding</w:t>
      </w:r>
      <w:proofErr w:type="spellEnd"/>
      <w:r>
        <w:rPr>
          <w:b w:val="0"/>
          <w:bCs w:val="0"/>
          <w:spacing w:val="-1"/>
          <w:w w:val="105"/>
          <w:sz w:val="24"/>
          <w:szCs w:val="24"/>
        </w:rPr>
        <w:t xml:space="preserve"> </w:t>
      </w:r>
      <w:proofErr w:type="spellStart"/>
      <w:r>
        <w:rPr>
          <w:b w:val="0"/>
          <w:bCs w:val="0"/>
          <w:spacing w:val="-1"/>
          <w:w w:val="105"/>
          <w:sz w:val="24"/>
          <w:szCs w:val="24"/>
        </w:rPr>
        <w:t>Board</w:t>
      </w:r>
      <w:proofErr w:type="spellEnd"/>
      <w:r>
        <w:rPr>
          <w:b w:val="0"/>
          <w:bCs w:val="0"/>
          <w:spacing w:val="-1"/>
          <w:w w:val="105"/>
          <w:sz w:val="24"/>
          <w:szCs w:val="24"/>
        </w:rPr>
        <w:t xml:space="preserve"> </w:t>
      </w:r>
      <w:r w:rsidRPr="00AD0FC6">
        <w:rPr>
          <w:b w:val="0"/>
          <w:bCs w:val="0"/>
          <w:spacing w:val="-1"/>
          <w:w w:val="105"/>
          <w:sz w:val="24"/>
          <w:szCs w:val="24"/>
        </w:rPr>
        <w:t xml:space="preserve">de la Délégation de l’Union européenne au Burundi), organisations des personnes vivant avec handicap, organisations pour la protection des droits des </w:t>
      </w:r>
      <w:proofErr w:type="spellStart"/>
      <w:r w:rsidRPr="00AD0FC6">
        <w:rPr>
          <w:b w:val="0"/>
          <w:bCs w:val="0"/>
          <w:spacing w:val="-1"/>
          <w:w w:val="105"/>
          <w:sz w:val="24"/>
          <w:szCs w:val="24"/>
        </w:rPr>
        <w:t>Batwa</w:t>
      </w:r>
      <w:proofErr w:type="spellEnd"/>
      <w:r w:rsidRPr="00AD0FC6">
        <w:rPr>
          <w:b w:val="0"/>
          <w:bCs w:val="0"/>
          <w:spacing w:val="-1"/>
          <w:w w:val="105"/>
          <w:sz w:val="24"/>
          <w:szCs w:val="24"/>
        </w:rPr>
        <w:t>, etc.);</w:t>
      </w:r>
    </w:p>
    <w:p w14:paraId="2580DDF7"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Les partis politiques;</w:t>
      </w:r>
    </w:p>
    <w:p w14:paraId="5BD01050"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Le Ministère de l’Intérieur;</w:t>
      </w:r>
    </w:p>
    <w:p w14:paraId="580EC71F"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Le Ministère des Finances;</w:t>
      </w:r>
    </w:p>
    <w:p w14:paraId="49F9C5FB"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Le Ministère de la Communication, des Technologies de l'Information et des Médias;</w:t>
      </w:r>
    </w:p>
    <w:p w14:paraId="0E2D003C"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Ministère de la Solidarité Nationale, des Affaires Sociales, des Droits de la personne humaine et du Genre;</w:t>
      </w:r>
    </w:p>
    <w:p w14:paraId="6F6EAD4D" w14:textId="4618CB6C"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Commission électorale nationale indépendante (CENI): organe en charge de préparer, organiser, gérer et contrôler tout le processus électoral au Buruni et de gérer le contentieux des élections locales;</w:t>
      </w:r>
    </w:p>
    <w:p w14:paraId="03FB42F6" w14:textId="575CD68F"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Commissions électorales provinciales indépendantes (</w:t>
      </w:r>
      <w:proofErr w:type="spellStart"/>
      <w:r w:rsidRPr="00AD0FC6">
        <w:rPr>
          <w:b w:val="0"/>
          <w:bCs w:val="0"/>
          <w:spacing w:val="-1"/>
          <w:w w:val="105"/>
          <w:sz w:val="24"/>
          <w:szCs w:val="24"/>
        </w:rPr>
        <w:t>CEPI</w:t>
      </w:r>
      <w:proofErr w:type="spellEnd"/>
      <w:r w:rsidRPr="00AD0FC6">
        <w:rPr>
          <w:b w:val="0"/>
          <w:bCs w:val="0"/>
          <w:spacing w:val="-1"/>
          <w:w w:val="105"/>
          <w:sz w:val="24"/>
          <w:szCs w:val="24"/>
        </w:rPr>
        <w:t>);</w:t>
      </w:r>
    </w:p>
    <w:p w14:paraId="59447EB4"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Commission nationale indépendante pour les Droits de l’Homme;</w:t>
      </w:r>
    </w:p>
    <w:p w14:paraId="33BDA718"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Conseil national de la communication: organe de régulation des médias au Burundi;</w:t>
      </w:r>
    </w:p>
    <w:p w14:paraId="0DC0062F"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Ombudsman;</w:t>
      </w:r>
    </w:p>
    <w:p w14:paraId="1AB9F0F9" w14:textId="77777777" w:rsidR="00AD0FC6" w:rsidRP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Cour constitutionnelle et Cour suprême;</w:t>
      </w:r>
    </w:p>
    <w:p w14:paraId="139D361D" w14:textId="77777777" w:rsidR="00AD0FC6" w:rsidRDefault="00AD0FC6" w:rsidP="00AD0FC6">
      <w:pPr>
        <w:pStyle w:val="Heading11"/>
        <w:ind w:left="0" w:firstLine="0"/>
        <w:rPr>
          <w:b w:val="0"/>
          <w:bCs w:val="0"/>
          <w:spacing w:val="-1"/>
          <w:w w:val="105"/>
          <w:sz w:val="24"/>
          <w:szCs w:val="24"/>
        </w:rPr>
      </w:pPr>
      <w:r w:rsidRPr="00AD0FC6">
        <w:rPr>
          <w:b w:val="0"/>
          <w:bCs w:val="0"/>
          <w:spacing w:val="-1"/>
          <w:w w:val="105"/>
          <w:sz w:val="24"/>
          <w:szCs w:val="24"/>
        </w:rPr>
        <w:t>- Les autorités locales</w:t>
      </w:r>
    </w:p>
    <w:bookmarkEnd w:id="4"/>
    <w:p w14:paraId="5023BE33" w14:textId="77777777" w:rsidR="000239C8" w:rsidRPr="000239C8" w:rsidRDefault="000239C8" w:rsidP="000239C8">
      <w:pPr>
        <w:pStyle w:val="ListParagraph"/>
        <w:rPr>
          <w:sz w:val="20"/>
          <w:szCs w:val="20"/>
          <w:lang w:eastAsia="en-GB"/>
        </w:rPr>
      </w:pPr>
    </w:p>
    <w:p w14:paraId="0644845F" w14:textId="11EF26F2" w:rsidR="003C3B35" w:rsidRPr="004B3C7E" w:rsidRDefault="00FB4289" w:rsidP="000D0D7C">
      <w:pPr>
        <w:pStyle w:val="Heading11"/>
        <w:numPr>
          <w:ilvl w:val="0"/>
          <w:numId w:val="22"/>
        </w:numPr>
        <w:spacing w:after="120"/>
        <w:rPr>
          <w:sz w:val="28"/>
          <w:szCs w:val="28"/>
        </w:rPr>
      </w:pPr>
      <w:bookmarkStart w:id="5" w:name="_Toc151566936"/>
      <w:r w:rsidRPr="004B3C7E">
        <w:rPr>
          <w:sz w:val="28"/>
          <w:szCs w:val="28"/>
        </w:rPr>
        <w:t>Questions transversales</w:t>
      </w:r>
      <w:bookmarkEnd w:id="5"/>
    </w:p>
    <w:tbl>
      <w:tblPr>
        <w:tblW w:w="9986" w:type="dxa"/>
        <w:tblInd w:w="-108" w:type="dxa"/>
        <w:tblBorders>
          <w:top w:val="nil"/>
          <w:left w:val="nil"/>
          <w:bottom w:val="nil"/>
          <w:right w:val="nil"/>
        </w:tblBorders>
        <w:tblLayout w:type="fixed"/>
        <w:tblLook w:val="0000" w:firstRow="0" w:lastRow="0" w:firstColumn="0" w:lastColumn="0" w:noHBand="0" w:noVBand="0"/>
      </w:tblPr>
      <w:tblGrid>
        <w:gridCol w:w="9986"/>
      </w:tblGrid>
      <w:tr w:rsidR="00B04621" w:rsidRPr="00B04621" w14:paraId="19062878" w14:textId="77777777" w:rsidTr="00B04621">
        <w:trPr>
          <w:trHeight w:val="2123"/>
        </w:trPr>
        <w:tc>
          <w:tcPr>
            <w:tcW w:w="9986" w:type="dxa"/>
          </w:tcPr>
          <w:p w14:paraId="2FE109C0" w14:textId="77777777" w:rsidR="00B04621" w:rsidRPr="00B04621" w:rsidRDefault="00B04621" w:rsidP="00B04621">
            <w:pPr>
              <w:widowControl/>
              <w:adjustRightInd w:val="0"/>
              <w:ind w:right="698"/>
              <w:jc w:val="both"/>
              <w:rPr>
                <w:rFonts w:eastAsiaTheme="minorHAnsi"/>
                <w:color w:val="000000"/>
                <w:sz w:val="24"/>
                <w:szCs w:val="24"/>
                <w:lang w:val="fr-BE"/>
              </w:rPr>
            </w:pPr>
            <w:r w:rsidRPr="00B04621">
              <w:rPr>
                <w:rFonts w:eastAsiaTheme="minorHAnsi"/>
                <w:b/>
                <w:bCs/>
                <w:color w:val="000000"/>
                <w:sz w:val="24"/>
                <w:szCs w:val="24"/>
                <w:lang w:val="fr-BE"/>
              </w:rPr>
              <w:t xml:space="preserve">Égalité entre les hommes et les femmes et l’autonomisation des femmes et des filles </w:t>
            </w:r>
          </w:p>
          <w:p w14:paraId="39D16B94" w14:textId="36D8D361" w:rsidR="00B04621" w:rsidRDefault="00B04621" w:rsidP="00B04621">
            <w:pPr>
              <w:widowControl/>
              <w:adjustRightInd w:val="0"/>
              <w:ind w:right="698"/>
              <w:jc w:val="both"/>
              <w:rPr>
                <w:rFonts w:eastAsiaTheme="minorHAnsi"/>
                <w:color w:val="000000"/>
                <w:lang w:val="fr-BE"/>
              </w:rPr>
            </w:pPr>
            <w:r w:rsidRPr="00B04621">
              <w:rPr>
                <w:rFonts w:eastAsiaTheme="minorHAnsi"/>
                <w:color w:val="000000"/>
                <w:sz w:val="24"/>
                <w:szCs w:val="24"/>
                <w:lang w:val="fr-BE"/>
              </w:rPr>
              <w:t xml:space="preserve">Conformément aux codes du CAD de l’OCDE identifiés à la section 1.1, cette action porte la mention G1. Cela implique que l’action visera l’intégration des questions concernant l’égalité entre hommes et femmes et l’autonomisation des femmes et des filles dans la mise en </w:t>
            </w:r>
            <w:r w:rsidR="00653706" w:rsidRPr="00B04621">
              <w:rPr>
                <w:rFonts w:eastAsiaTheme="minorHAnsi"/>
                <w:color w:val="000000"/>
                <w:sz w:val="24"/>
                <w:szCs w:val="24"/>
                <w:lang w:val="fr-BE"/>
              </w:rPr>
              <w:t>œuvre</w:t>
            </w:r>
            <w:r w:rsidRPr="00B04621">
              <w:rPr>
                <w:rFonts w:eastAsiaTheme="minorHAnsi"/>
                <w:color w:val="000000"/>
                <w:sz w:val="24"/>
                <w:szCs w:val="24"/>
                <w:lang w:val="fr-BE"/>
              </w:rPr>
              <w:t xml:space="preserve"> de ses activités sur la base des orientations contenues dans le Plan d’action de l’Union européenne sur l’égalité entre les hommes et </w:t>
            </w:r>
            <w:r w:rsidR="00376562">
              <w:rPr>
                <w:rFonts w:eastAsiaTheme="minorHAnsi"/>
                <w:color w:val="000000"/>
                <w:sz w:val="24"/>
                <w:szCs w:val="24"/>
                <w:lang w:val="fr-BE"/>
              </w:rPr>
              <w:t>les femmes (GAP III) —2021-2025</w:t>
            </w:r>
            <w:r w:rsidRPr="00B04621">
              <w:rPr>
                <w:rFonts w:eastAsiaTheme="minorHAnsi"/>
                <w:color w:val="000000"/>
                <w:sz w:val="24"/>
                <w:szCs w:val="24"/>
                <w:lang w:val="fr-BE"/>
              </w:rPr>
              <w:t xml:space="preserve"> et sa déclinaison burundaise, le CLIP. Les femmes ont, en effet, un rôle essentiel à jouer dans la consolidation de la paix, l’assise du système de gouvernance démocratique et dans l’aboutissement harmonieux de ce processus électoral. Cependant, des obstacles d’ordre politique et culturel rendent leur participation au processus plus difficile. Une fois élues ou nommées, les femmes ne disposent pas nécessairement des connaissances et compétences nécessaires à l’exercice de leurs devoirs politiques et pour influencer l’élaboration des politiques et des projets de société ainsi que la prise de décision. Il y également de faibles liens internes entre les femmes élues et les femmes à la base ainsi qu’une faible implication des femmes élues pour faire progresser l’agenda des femmes, notamment la difficulté à transcender la ligne du parti politique. En outre, la capacité économique </w:t>
            </w:r>
            <w:r w:rsidR="00376562">
              <w:rPr>
                <w:rFonts w:eastAsiaTheme="minorHAnsi"/>
                <w:color w:val="000000"/>
                <w:sz w:val="24"/>
                <w:szCs w:val="24"/>
                <w:lang w:val="fr-BE"/>
              </w:rPr>
              <w:t>limitée des femmes</w:t>
            </w:r>
            <w:r w:rsidRPr="00B04621">
              <w:rPr>
                <w:rFonts w:eastAsiaTheme="minorHAnsi"/>
                <w:color w:val="000000"/>
                <w:sz w:val="24"/>
                <w:szCs w:val="24"/>
                <w:lang w:val="fr-BE"/>
              </w:rPr>
              <w:t xml:space="preserve"> pour financer leur candidature ou le fonctionnement de leur parti est une contrainte à leur position sur les listes électorales, tandis que d’autres barrières dans la sphère privée posent également des obstacles à leur élection (charge du travail domestique et manque de temps, persistance de la réticence des femmes à entrer dans la vie politique/publique).</w:t>
            </w:r>
            <w:r w:rsidRPr="00B04621">
              <w:rPr>
                <w:rFonts w:eastAsiaTheme="minorHAnsi"/>
                <w:color w:val="000000"/>
                <w:lang w:val="fr-BE"/>
              </w:rPr>
              <w:t xml:space="preserve"> </w:t>
            </w:r>
          </w:p>
          <w:p w14:paraId="673FE377" w14:textId="551FA388" w:rsidR="00B04621" w:rsidRPr="00B04621" w:rsidRDefault="00B04621" w:rsidP="00B04621">
            <w:pPr>
              <w:widowControl/>
              <w:adjustRightInd w:val="0"/>
              <w:ind w:right="698"/>
              <w:jc w:val="both"/>
              <w:rPr>
                <w:rFonts w:eastAsiaTheme="minorHAnsi"/>
                <w:color w:val="000000"/>
                <w:lang w:val="fr-BE"/>
              </w:rPr>
            </w:pPr>
          </w:p>
        </w:tc>
      </w:tr>
    </w:tbl>
    <w:p w14:paraId="6EEE0D4F" w14:textId="77777777" w:rsidR="00B04621" w:rsidRPr="00B04621" w:rsidRDefault="00B04621" w:rsidP="00B04621">
      <w:pPr>
        <w:pStyle w:val="BodyText"/>
        <w:spacing w:before="10"/>
        <w:rPr>
          <w:rFonts w:eastAsiaTheme="minorHAnsi"/>
          <w:b/>
          <w:color w:val="000000"/>
          <w:sz w:val="24"/>
          <w:szCs w:val="24"/>
          <w:lang w:val="fr-BE"/>
        </w:rPr>
      </w:pPr>
      <w:r w:rsidRPr="00B04621">
        <w:rPr>
          <w:rFonts w:eastAsiaTheme="minorHAnsi"/>
          <w:b/>
          <w:color w:val="000000"/>
          <w:sz w:val="24"/>
          <w:szCs w:val="24"/>
          <w:lang w:val="fr-BE"/>
        </w:rPr>
        <w:t>Droits de l’homme</w:t>
      </w:r>
    </w:p>
    <w:p w14:paraId="55065FF3" w14:textId="435A5EF3" w:rsidR="003C3B35" w:rsidRDefault="00B04621" w:rsidP="00B04621">
      <w:pPr>
        <w:pStyle w:val="BodyText"/>
        <w:spacing w:before="10"/>
        <w:jc w:val="both"/>
        <w:rPr>
          <w:rFonts w:eastAsiaTheme="minorHAnsi"/>
          <w:color w:val="000000"/>
          <w:sz w:val="24"/>
          <w:szCs w:val="24"/>
          <w:lang w:val="fr-BE"/>
        </w:rPr>
      </w:pPr>
      <w:r w:rsidRPr="00B04621">
        <w:rPr>
          <w:rFonts w:eastAsiaTheme="minorHAnsi"/>
          <w:color w:val="000000"/>
          <w:sz w:val="24"/>
          <w:szCs w:val="24"/>
          <w:lang w:val="fr-BE"/>
        </w:rPr>
        <w:t xml:space="preserve">La présente action repose sur l’approche fondée sur les droits, englobant tous les droits de l’Homme. L’approche basée sur les droits de l’homme sera appliquée dans tous les phases du cycle du projet en </w:t>
      </w:r>
      <w:r w:rsidR="00376562">
        <w:rPr>
          <w:rFonts w:eastAsiaTheme="minorHAnsi"/>
          <w:color w:val="000000"/>
          <w:sz w:val="24"/>
          <w:szCs w:val="24"/>
          <w:lang w:val="fr-BE"/>
        </w:rPr>
        <w:t>garantissant le respect</w:t>
      </w:r>
      <w:r w:rsidRPr="00B04621">
        <w:rPr>
          <w:rFonts w:eastAsiaTheme="minorHAnsi"/>
          <w:color w:val="000000"/>
          <w:sz w:val="24"/>
          <w:szCs w:val="24"/>
          <w:lang w:val="fr-BE"/>
        </w:rPr>
        <w:t xml:space="preserve"> des droits humains et les principes de l’universalité, l’inaliénabilité, l’indivisibilité, l’interdépendance et le respect des principes d’égalité, de non-discrimination, de transparence, de redevabilité, etc.</w:t>
      </w:r>
      <w:r w:rsidR="00376562">
        <w:rPr>
          <w:rFonts w:eastAsiaTheme="minorHAnsi"/>
          <w:color w:val="000000"/>
          <w:sz w:val="24"/>
          <w:szCs w:val="24"/>
          <w:lang w:val="fr-BE"/>
        </w:rPr>
        <w:t xml:space="preserve"> au cours de la mise en œuvre.</w:t>
      </w:r>
      <w:r w:rsidRPr="00B04621">
        <w:rPr>
          <w:rFonts w:eastAsiaTheme="minorHAnsi"/>
          <w:color w:val="000000"/>
          <w:sz w:val="24"/>
          <w:szCs w:val="24"/>
          <w:lang w:val="fr-BE"/>
        </w:rPr>
        <w:t xml:space="preserve"> Les principes de « ne pas nuire » (« </w:t>
      </w:r>
      <w:r w:rsidRPr="00805C70">
        <w:rPr>
          <w:rFonts w:eastAsiaTheme="minorHAnsi"/>
          <w:i/>
          <w:color w:val="000000"/>
          <w:sz w:val="24"/>
          <w:szCs w:val="24"/>
          <w:lang w:val="fr-BE"/>
        </w:rPr>
        <w:t xml:space="preserve">do no </w:t>
      </w:r>
      <w:proofErr w:type="spellStart"/>
      <w:r w:rsidRPr="00805C70">
        <w:rPr>
          <w:rFonts w:eastAsiaTheme="minorHAnsi"/>
          <w:i/>
          <w:color w:val="000000"/>
          <w:sz w:val="24"/>
          <w:szCs w:val="24"/>
          <w:lang w:val="fr-BE"/>
        </w:rPr>
        <w:t>harm</w:t>
      </w:r>
      <w:proofErr w:type="spellEnd"/>
      <w:r w:rsidRPr="00B04621">
        <w:rPr>
          <w:rFonts w:eastAsiaTheme="minorHAnsi"/>
          <w:color w:val="000000"/>
          <w:sz w:val="24"/>
          <w:szCs w:val="24"/>
          <w:lang w:val="fr-BE"/>
        </w:rPr>
        <w:t xml:space="preserve"> ») et « ne laisser personne pour compte » (« </w:t>
      </w:r>
      <w:proofErr w:type="spellStart"/>
      <w:r w:rsidR="00376562">
        <w:rPr>
          <w:rFonts w:eastAsiaTheme="minorHAnsi"/>
          <w:i/>
          <w:color w:val="000000"/>
          <w:sz w:val="24"/>
          <w:szCs w:val="24"/>
          <w:lang w:val="fr-BE"/>
        </w:rPr>
        <w:t>leave</w:t>
      </w:r>
      <w:proofErr w:type="spellEnd"/>
      <w:r w:rsidRPr="00B82BCE">
        <w:rPr>
          <w:rFonts w:eastAsiaTheme="minorHAnsi"/>
          <w:i/>
          <w:color w:val="000000"/>
          <w:sz w:val="24"/>
          <w:lang w:val="fr-BE"/>
        </w:rPr>
        <w:t xml:space="preserve"> no one </w:t>
      </w:r>
      <w:proofErr w:type="spellStart"/>
      <w:r w:rsidRPr="00B82BCE">
        <w:rPr>
          <w:rFonts w:eastAsiaTheme="minorHAnsi"/>
          <w:i/>
          <w:color w:val="000000"/>
          <w:sz w:val="24"/>
          <w:lang w:val="fr-BE"/>
        </w:rPr>
        <w:t>behind</w:t>
      </w:r>
      <w:proofErr w:type="spellEnd"/>
      <w:r w:rsidRPr="00B04621">
        <w:rPr>
          <w:rFonts w:eastAsiaTheme="minorHAnsi"/>
          <w:color w:val="000000"/>
          <w:sz w:val="24"/>
          <w:szCs w:val="24"/>
          <w:lang w:val="fr-BE"/>
        </w:rPr>
        <w:t xml:space="preserve"> ») seront également pris en compte. Les trois volets de l’action promeuvent cette approche par les actions envisagées (renforcement de capacités) et les acteurs ciblés: les détenteurs de droits sont en l’espèce les citoyens (dont les femmes et les jeunes), les membres des </w:t>
      </w:r>
      <w:proofErr w:type="spellStart"/>
      <w:r w:rsidRPr="00B04621">
        <w:rPr>
          <w:rFonts w:eastAsiaTheme="minorHAnsi"/>
          <w:color w:val="000000"/>
          <w:sz w:val="24"/>
          <w:szCs w:val="24"/>
          <w:lang w:val="fr-BE"/>
        </w:rPr>
        <w:t>OSC</w:t>
      </w:r>
      <w:proofErr w:type="spellEnd"/>
      <w:r w:rsidRPr="00B04621">
        <w:rPr>
          <w:rFonts w:eastAsiaTheme="minorHAnsi"/>
          <w:color w:val="000000"/>
          <w:sz w:val="24"/>
          <w:szCs w:val="24"/>
          <w:lang w:val="fr-BE"/>
        </w:rPr>
        <w:t>, des médias, les acteurs politiques. En matière de droits de</w:t>
      </w:r>
      <w:r>
        <w:rPr>
          <w:rFonts w:eastAsiaTheme="minorHAnsi"/>
          <w:color w:val="000000"/>
          <w:sz w:val="24"/>
          <w:szCs w:val="24"/>
          <w:lang w:val="fr-BE"/>
        </w:rPr>
        <w:t xml:space="preserve"> </w:t>
      </w:r>
      <w:r w:rsidRPr="00B04621">
        <w:rPr>
          <w:rFonts w:eastAsiaTheme="minorHAnsi"/>
          <w:color w:val="000000"/>
          <w:sz w:val="24"/>
          <w:szCs w:val="24"/>
          <w:lang w:val="fr-BE"/>
        </w:rPr>
        <w:t>l’Homme, le suivi de leur respect, notamment pendant les différentes phases du processus électoral de 2025 et pendant la période post-électorale</w:t>
      </w:r>
      <w:r w:rsidR="0086798A">
        <w:rPr>
          <w:rFonts w:eastAsiaTheme="minorHAnsi"/>
          <w:color w:val="000000"/>
          <w:sz w:val="24"/>
          <w:szCs w:val="24"/>
          <w:lang w:val="fr-BE"/>
        </w:rPr>
        <w:t>,</w:t>
      </w:r>
      <w:r w:rsidRPr="00B04621">
        <w:rPr>
          <w:rFonts w:eastAsiaTheme="minorHAnsi"/>
          <w:color w:val="000000"/>
          <w:sz w:val="24"/>
          <w:szCs w:val="24"/>
          <w:lang w:val="fr-BE"/>
        </w:rPr>
        <w:t xml:space="preserve"> devra faire l’objet d’une attention particulière. En outre, des initiatives ciblées pourront être mises en </w:t>
      </w:r>
      <w:r w:rsidR="0086798A" w:rsidRPr="00B04621">
        <w:rPr>
          <w:rFonts w:eastAsiaTheme="minorHAnsi"/>
          <w:color w:val="000000"/>
          <w:sz w:val="24"/>
          <w:szCs w:val="24"/>
          <w:lang w:val="fr-BE"/>
        </w:rPr>
        <w:t>œuvre</w:t>
      </w:r>
      <w:r w:rsidRPr="00B04621">
        <w:rPr>
          <w:rFonts w:eastAsiaTheme="minorHAnsi"/>
          <w:color w:val="000000"/>
          <w:sz w:val="24"/>
          <w:szCs w:val="24"/>
          <w:lang w:val="fr-BE"/>
        </w:rPr>
        <w:t xml:space="preserve"> pendant la durée du projet, devant inclure, entre autres, un mécanisme d’observation et d’alerte sur les atteintes aux droits humains, y compris pour les incidents pré- et post-électoraux.</w:t>
      </w:r>
    </w:p>
    <w:p w14:paraId="4583D710" w14:textId="77777777" w:rsidR="00B04621" w:rsidRPr="00B04621" w:rsidRDefault="00B04621" w:rsidP="00B04621">
      <w:pPr>
        <w:pStyle w:val="BodyText"/>
        <w:spacing w:before="10"/>
        <w:jc w:val="both"/>
        <w:rPr>
          <w:rFonts w:eastAsiaTheme="minorHAnsi"/>
          <w:color w:val="000000"/>
          <w:sz w:val="24"/>
          <w:szCs w:val="24"/>
          <w:lang w:val="fr-BE"/>
        </w:rPr>
      </w:pPr>
    </w:p>
    <w:p w14:paraId="7D2A91BB" w14:textId="77777777" w:rsidR="00B04621" w:rsidRPr="00B04621" w:rsidRDefault="00B04621" w:rsidP="00B04621">
      <w:pPr>
        <w:pStyle w:val="BodyText"/>
        <w:spacing w:before="10"/>
        <w:jc w:val="both"/>
        <w:rPr>
          <w:rFonts w:eastAsiaTheme="minorHAnsi"/>
          <w:b/>
          <w:color w:val="000000"/>
          <w:sz w:val="24"/>
          <w:szCs w:val="24"/>
          <w:lang w:val="fr-BE"/>
        </w:rPr>
      </w:pPr>
      <w:r w:rsidRPr="00B04621">
        <w:rPr>
          <w:rFonts w:eastAsiaTheme="minorHAnsi"/>
          <w:b/>
          <w:color w:val="000000"/>
          <w:sz w:val="24"/>
          <w:szCs w:val="24"/>
          <w:lang w:val="fr-BE"/>
        </w:rPr>
        <w:t>Invalidité/Handicap</w:t>
      </w:r>
    </w:p>
    <w:p w14:paraId="6525BEF9" w14:textId="597C2083" w:rsidR="00B04621" w:rsidRDefault="00B04621" w:rsidP="00B04621">
      <w:pPr>
        <w:pStyle w:val="BodyText"/>
        <w:spacing w:before="10"/>
        <w:jc w:val="both"/>
        <w:rPr>
          <w:rFonts w:eastAsiaTheme="minorHAnsi"/>
          <w:color w:val="000000"/>
          <w:sz w:val="24"/>
          <w:szCs w:val="24"/>
          <w:lang w:val="fr-BE"/>
        </w:rPr>
      </w:pPr>
      <w:r w:rsidRPr="00B04621">
        <w:rPr>
          <w:rFonts w:eastAsiaTheme="minorHAnsi"/>
          <w:color w:val="000000"/>
          <w:sz w:val="24"/>
          <w:szCs w:val="24"/>
          <w:lang w:val="fr-BE"/>
        </w:rPr>
        <w:t>Conformément aux codes du CAD de l’OCDE identifiés à la section 1.1, cette action porte la mention D1. Cela implique que la participation à cette action par les personnes vivant avec handicap sera promue, à la fois en tant que bénéficiaires (participation aux sessions de sensibilisation et de formation, etc.) qu’à leur contribution directe à la réalisation des activités (conduite des formations, animation des ateliers de sensibilisation, etc.</w:t>
      </w:r>
      <w:r w:rsidR="0086798A">
        <w:rPr>
          <w:rFonts w:eastAsiaTheme="minorHAnsi"/>
          <w:color w:val="000000"/>
          <w:sz w:val="24"/>
          <w:szCs w:val="24"/>
          <w:lang w:val="fr-BE"/>
        </w:rPr>
        <w:t>).</w:t>
      </w:r>
      <w:r w:rsidRPr="00B04621">
        <w:rPr>
          <w:rFonts w:eastAsiaTheme="minorHAnsi"/>
          <w:color w:val="000000"/>
          <w:sz w:val="24"/>
          <w:szCs w:val="24"/>
          <w:lang w:val="fr-BE"/>
        </w:rPr>
        <w:t xml:space="preserve"> L’égalité du droit </w:t>
      </w:r>
      <w:r w:rsidR="0086798A">
        <w:rPr>
          <w:rFonts w:eastAsiaTheme="minorHAnsi"/>
          <w:color w:val="000000"/>
          <w:sz w:val="24"/>
          <w:szCs w:val="24"/>
          <w:lang w:val="fr-BE"/>
        </w:rPr>
        <w:t>de participer</w:t>
      </w:r>
      <w:r w:rsidRPr="00B04621">
        <w:rPr>
          <w:rFonts w:eastAsiaTheme="minorHAnsi"/>
          <w:color w:val="000000"/>
          <w:sz w:val="24"/>
          <w:szCs w:val="24"/>
          <w:lang w:val="fr-BE"/>
        </w:rPr>
        <w:t xml:space="preserve"> à la vie politique et au vote pour les personnes vivant avec handicap est clairement mentionnée par les lois internationales et la loi nationale, et le Burundi a signé la Convention internationale relative aux droits des personnes handicapées (</w:t>
      </w:r>
      <w:proofErr w:type="spellStart"/>
      <w:r w:rsidRPr="00B04621">
        <w:rPr>
          <w:rFonts w:eastAsiaTheme="minorHAnsi"/>
          <w:color w:val="000000"/>
          <w:sz w:val="24"/>
          <w:szCs w:val="24"/>
          <w:lang w:val="fr-BE"/>
        </w:rPr>
        <w:t>CDPH</w:t>
      </w:r>
      <w:proofErr w:type="spellEnd"/>
      <w:r w:rsidRPr="00B04621">
        <w:rPr>
          <w:rFonts w:eastAsiaTheme="minorHAnsi"/>
          <w:color w:val="000000"/>
          <w:sz w:val="24"/>
          <w:szCs w:val="24"/>
          <w:lang w:val="fr-BE"/>
        </w:rPr>
        <w:t xml:space="preserve">). Cependant, les textes ne sont pas intégralement mis en </w:t>
      </w:r>
      <w:r w:rsidR="0086798A" w:rsidRPr="00B04621">
        <w:rPr>
          <w:rFonts w:eastAsiaTheme="minorHAnsi"/>
          <w:color w:val="000000"/>
          <w:sz w:val="24"/>
          <w:szCs w:val="24"/>
          <w:lang w:val="fr-BE"/>
        </w:rPr>
        <w:t>œuvre</w:t>
      </w:r>
      <w:r w:rsidRPr="00B04621">
        <w:rPr>
          <w:rFonts w:eastAsiaTheme="minorHAnsi"/>
          <w:color w:val="000000"/>
          <w:sz w:val="24"/>
          <w:szCs w:val="24"/>
          <w:lang w:val="fr-BE"/>
        </w:rPr>
        <w:t xml:space="preserve">. Cette action est parfaitement alignée avec la Stratégie de l’Union européenne en faveur des droits des personnes handicapées 2021-2030. Il s’agit d’une action inclusive qui prend en compte, dès la phase de formulation, les droits des personnes handicapées. Les associations et fédérations burundaises des personnes handicapées, y compris la Fédération des Femmes Burundaises Handicapées, </w:t>
      </w:r>
      <w:proofErr w:type="gramStart"/>
      <w:r w:rsidRPr="00B04621">
        <w:rPr>
          <w:rFonts w:eastAsiaTheme="minorHAnsi"/>
          <w:color w:val="000000"/>
          <w:sz w:val="24"/>
          <w:szCs w:val="24"/>
          <w:lang w:val="fr-BE"/>
        </w:rPr>
        <w:t>ont</w:t>
      </w:r>
      <w:proofErr w:type="gramEnd"/>
      <w:r w:rsidRPr="00B04621">
        <w:rPr>
          <w:rFonts w:eastAsiaTheme="minorHAnsi"/>
          <w:color w:val="000000"/>
          <w:sz w:val="24"/>
          <w:szCs w:val="24"/>
          <w:lang w:val="fr-BE"/>
        </w:rPr>
        <w:t xml:space="preserve"> été et seront impliquées tout au long du cycle d’intervention. Par ailleurs, des modalités pratiques seront adaptées aux besoins spécifiques des personnes handicapées pour leur permettre, notamment, d’avoir accès au bureau de vote le jour du scrutin.</w:t>
      </w:r>
    </w:p>
    <w:p w14:paraId="3FFD980B" w14:textId="77777777" w:rsidR="00B04621" w:rsidRPr="00B04621" w:rsidRDefault="00B04621" w:rsidP="00B04621">
      <w:pPr>
        <w:pStyle w:val="BodyText"/>
        <w:spacing w:before="10"/>
        <w:jc w:val="both"/>
        <w:rPr>
          <w:rFonts w:eastAsiaTheme="minorHAnsi"/>
          <w:color w:val="000000"/>
          <w:sz w:val="24"/>
          <w:szCs w:val="24"/>
          <w:lang w:val="fr-BE"/>
        </w:rPr>
      </w:pPr>
    </w:p>
    <w:p w14:paraId="741C4306" w14:textId="77777777" w:rsidR="00B04621" w:rsidRPr="00B04621" w:rsidRDefault="00B04621" w:rsidP="00B04621">
      <w:pPr>
        <w:pStyle w:val="BodyText"/>
        <w:spacing w:before="10"/>
        <w:jc w:val="both"/>
        <w:rPr>
          <w:rFonts w:eastAsiaTheme="minorHAnsi"/>
          <w:b/>
          <w:color w:val="000000"/>
          <w:sz w:val="24"/>
          <w:szCs w:val="24"/>
          <w:lang w:val="fr-BE"/>
        </w:rPr>
      </w:pPr>
      <w:r w:rsidRPr="00B04621">
        <w:rPr>
          <w:rFonts w:eastAsiaTheme="minorHAnsi"/>
          <w:b/>
          <w:color w:val="000000"/>
          <w:sz w:val="24"/>
          <w:szCs w:val="24"/>
          <w:lang w:val="fr-BE"/>
        </w:rPr>
        <w:t>Démocratie</w:t>
      </w:r>
    </w:p>
    <w:p w14:paraId="3C297673" w14:textId="4B8FB055" w:rsidR="00B04621" w:rsidRDefault="00B04621" w:rsidP="00B04621">
      <w:pPr>
        <w:pStyle w:val="BodyText"/>
        <w:spacing w:before="10"/>
        <w:jc w:val="both"/>
        <w:rPr>
          <w:rFonts w:eastAsiaTheme="minorHAnsi"/>
          <w:color w:val="000000"/>
          <w:sz w:val="24"/>
          <w:szCs w:val="24"/>
          <w:lang w:val="fr-BE"/>
        </w:rPr>
      </w:pPr>
      <w:r w:rsidRPr="00B04621">
        <w:rPr>
          <w:rFonts w:eastAsiaTheme="minorHAnsi"/>
          <w:color w:val="000000"/>
          <w:sz w:val="24"/>
          <w:szCs w:val="24"/>
          <w:lang w:val="fr-BE"/>
        </w:rPr>
        <w:t xml:space="preserve">La démocratisation, la promotion des droits humains et la bonne gouvernance sont au </w:t>
      </w:r>
      <w:r w:rsidR="00805C70" w:rsidRPr="00B04621">
        <w:rPr>
          <w:rFonts w:eastAsiaTheme="minorHAnsi"/>
          <w:color w:val="000000"/>
          <w:sz w:val="24"/>
          <w:szCs w:val="24"/>
          <w:lang w:val="fr-BE"/>
        </w:rPr>
        <w:t>cœur</w:t>
      </w:r>
      <w:r w:rsidRPr="00B04621">
        <w:rPr>
          <w:rFonts w:eastAsiaTheme="minorHAnsi"/>
          <w:color w:val="000000"/>
          <w:sz w:val="24"/>
          <w:szCs w:val="24"/>
          <w:lang w:val="fr-BE"/>
        </w:rPr>
        <w:t xml:space="preserve"> de cette action. Elle répond aussi aux objectifs de la communication conjointe du Parlement et du Conseil de l’UE « Vers une stratégie globale avec l’Afrique ». L’action va appuyer le renforcement de l’état de droit et des processus démocratiques, soutenir le processus électoral, le renforcement du rôle de la société civile dans le processus démocratique, l’éducation civique et électorale, la liberté et le pluralisme des médias au Burundi. L’UE peut ainsi promouvoir le respect des libertés fondamentales et des valeurs démocratiques, conformément aux traités qui la fondent.</w:t>
      </w:r>
    </w:p>
    <w:p w14:paraId="7745C2F6" w14:textId="162A49E7" w:rsidR="00B04621" w:rsidRDefault="00B04621" w:rsidP="00B04621">
      <w:pPr>
        <w:pStyle w:val="BodyText"/>
        <w:spacing w:before="10"/>
        <w:jc w:val="both"/>
        <w:rPr>
          <w:rFonts w:eastAsiaTheme="minorHAnsi"/>
          <w:color w:val="000000"/>
          <w:sz w:val="24"/>
          <w:szCs w:val="24"/>
          <w:lang w:val="fr-BE"/>
        </w:rPr>
      </w:pPr>
    </w:p>
    <w:p w14:paraId="2E25CB6D" w14:textId="77777777" w:rsidR="000F3DF1" w:rsidRPr="000F3DF1" w:rsidRDefault="000F3DF1" w:rsidP="000F3DF1">
      <w:pPr>
        <w:pStyle w:val="BodyText"/>
        <w:spacing w:before="10"/>
        <w:jc w:val="both"/>
        <w:rPr>
          <w:rFonts w:eastAsiaTheme="minorHAnsi"/>
          <w:b/>
          <w:color w:val="000000"/>
          <w:sz w:val="24"/>
          <w:szCs w:val="24"/>
          <w:lang w:val="fr-BE"/>
        </w:rPr>
      </w:pPr>
      <w:r w:rsidRPr="000F3DF1">
        <w:rPr>
          <w:rFonts w:eastAsiaTheme="minorHAnsi"/>
          <w:b/>
          <w:color w:val="000000"/>
          <w:sz w:val="24"/>
          <w:szCs w:val="24"/>
          <w:lang w:val="fr-BE"/>
        </w:rPr>
        <w:t>Sensibilité aux conflits, paix et résilience</w:t>
      </w:r>
    </w:p>
    <w:p w14:paraId="7AF9E092" w14:textId="319D9216" w:rsidR="000F3DF1" w:rsidRDefault="000F3DF1" w:rsidP="000F3DF1">
      <w:pPr>
        <w:pStyle w:val="BodyText"/>
        <w:spacing w:before="10"/>
        <w:jc w:val="both"/>
        <w:rPr>
          <w:rFonts w:eastAsiaTheme="minorHAnsi"/>
          <w:color w:val="000000"/>
          <w:sz w:val="24"/>
          <w:szCs w:val="24"/>
          <w:lang w:val="fr-BE"/>
        </w:rPr>
      </w:pPr>
      <w:r w:rsidRPr="000F3DF1">
        <w:rPr>
          <w:rFonts w:eastAsiaTheme="minorHAnsi"/>
          <w:color w:val="000000"/>
          <w:sz w:val="24"/>
          <w:szCs w:val="24"/>
          <w:lang w:val="fr-BE"/>
        </w:rPr>
        <w:t xml:space="preserve">L’éducation à la non-violence et à la gestion des conflits sera au </w:t>
      </w:r>
      <w:r w:rsidR="00805C70" w:rsidRPr="000F3DF1">
        <w:rPr>
          <w:rFonts w:eastAsiaTheme="minorHAnsi"/>
          <w:color w:val="000000"/>
          <w:sz w:val="24"/>
          <w:szCs w:val="24"/>
          <w:lang w:val="fr-BE"/>
        </w:rPr>
        <w:t>cœur</w:t>
      </w:r>
      <w:r w:rsidRPr="000F3DF1">
        <w:rPr>
          <w:rFonts w:eastAsiaTheme="minorHAnsi"/>
          <w:color w:val="000000"/>
          <w:sz w:val="24"/>
          <w:szCs w:val="24"/>
          <w:lang w:val="fr-BE"/>
        </w:rPr>
        <w:t xml:space="preserve"> de cette action qui vise, notamment, à former la jeunesse à la citoyenneté responsable. La résolution des conflits et la promotion de la paix seront également favorisées par les messages de sensibilisation aux élections, la lutte contre la désinformation ainsi que la lutte contre les messages de haine. Toutes les activités seront construites sur base d’une analyse sensible au conflit et dans le respect du principe de « ne pas nuire », en s’assurant que le développement des activités ne va pas provoquer de nouveaux conflits ou une intensification de tensions et conflits déjà existants.</w:t>
      </w:r>
    </w:p>
    <w:p w14:paraId="1227C276" w14:textId="77777777" w:rsidR="000F3DF1" w:rsidRPr="000F3DF1" w:rsidRDefault="000F3DF1" w:rsidP="000F3DF1">
      <w:pPr>
        <w:pStyle w:val="BodyText"/>
        <w:spacing w:before="10"/>
        <w:jc w:val="both"/>
        <w:rPr>
          <w:rFonts w:eastAsiaTheme="minorHAnsi"/>
          <w:color w:val="000000"/>
          <w:sz w:val="24"/>
          <w:szCs w:val="24"/>
          <w:lang w:val="fr-BE"/>
        </w:rPr>
      </w:pPr>
    </w:p>
    <w:p w14:paraId="5F294848" w14:textId="77777777" w:rsidR="000F3DF1" w:rsidRPr="000F3DF1" w:rsidRDefault="000F3DF1" w:rsidP="000F3DF1">
      <w:pPr>
        <w:pStyle w:val="BodyText"/>
        <w:spacing w:before="10"/>
        <w:jc w:val="both"/>
        <w:rPr>
          <w:rFonts w:eastAsiaTheme="minorHAnsi"/>
          <w:b/>
          <w:color w:val="000000"/>
          <w:sz w:val="24"/>
          <w:szCs w:val="24"/>
          <w:lang w:val="fr-BE"/>
        </w:rPr>
      </w:pPr>
      <w:r w:rsidRPr="000F3DF1">
        <w:rPr>
          <w:rFonts w:eastAsiaTheme="minorHAnsi"/>
          <w:b/>
          <w:color w:val="000000"/>
          <w:sz w:val="24"/>
          <w:szCs w:val="24"/>
          <w:lang w:val="fr-BE"/>
        </w:rPr>
        <w:t>Réduction des risques de catastrophes</w:t>
      </w:r>
    </w:p>
    <w:p w14:paraId="6F61D498" w14:textId="12548DB1" w:rsidR="00B04621" w:rsidRDefault="000F3DF1" w:rsidP="000F3DF1">
      <w:pPr>
        <w:pStyle w:val="BodyText"/>
        <w:spacing w:before="10"/>
        <w:jc w:val="both"/>
        <w:rPr>
          <w:rFonts w:eastAsiaTheme="minorHAnsi"/>
          <w:color w:val="000000"/>
          <w:sz w:val="24"/>
          <w:szCs w:val="24"/>
          <w:lang w:val="fr-BE"/>
        </w:rPr>
      </w:pPr>
      <w:r w:rsidRPr="000F3DF1">
        <w:rPr>
          <w:rFonts w:eastAsiaTheme="minorHAnsi"/>
          <w:color w:val="000000"/>
          <w:sz w:val="24"/>
          <w:szCs w:val="24"/>
          <w:lang w:val="fr-BE"/>
        </w:rPr>
        <w:t>Une condition importante pour la réduction des risques de catastrophes (inondations, glissements de terrain, etc.) est que les gouvernements locaux qui sont en fonction soient légitimes et redevables dans la gestion du territoire. Les scrutins locaux de 2025 devraient permettre d’avoir des autorités locales légitimes et redevables envers leurs admini</w:t>
      </w:r>
      <w:r w:rsidR="00C43A90">
        <w:rPr>
          <w:rFonts w:eastAsiaTheme="minorHAnsi"/>
          <w:color w:val="000000"/>
          <w:sz w:val="24"/>
          <w:szCs w:val="24"/>
          <w:lang w:val="fr-BE"/>
        </w:rPr>
        <w:t>strés et engagés en vue de réduire l</w:t>
      </w:r>
      <w:r w:rsidRPr="000F3DF1">
        <w:rPr>
          <w:rFonts w:eastAsiaTheme="minorHAnsi"/>
          <w:color w:val="000000"/>
          <w:sz w:val="24"/>
          <w:szCs w:val="24"/>
          <w:lang w:val="fr-BE"/>
        </w:rPr>
        <w:t>es risques de catastrophes.</w:t>
      </w:r>
    </w:p>
    <w:p w14:paraId="5FCCE252" w14:textId="14C80190" w:rsidR="00752DF8" w:rsidRDefault="00752DF8" w:rsidP="000F3DF1">
      <w:pPr>
        <w:pStyle w:val="BodyText"/>
        <w:spacing w:before="10"/>
        <w:jc w:val="both"/>
        <w:rPr>
          <w:rFonts w:eastAsiaTheme="minorHAnsi"/>
          <w:color w:val="000000"/>
          <w:sz w:val="24"/>
          <w:szCs w:val="24"/>
          <w:lang w:val="fr-BE"/>
        </w:rPr>
      </w:pPr>
    </w:p>
    <w:p w14:paraId="57F0B8DE" w14:textId="4A269103" w:rsidR="00752DF8" w:rsidRDefault="00752DF8" w:rsidP="000F3DF1">
      <w:pPr>
        <w:pStyle w:val="BodyText"/>
        <w:spacing w:before="10"/>
        <w:jc w:val="both"/>
        <w:rPr>
          <w:rFonts w:eastAsiaTheme="minorHAnsi"/>
          <w:color w:val="000000"/>
          <w:sz w:val="24"/>
          <w:szCs w:val="24"/>
          <w:lang w:val="fr-BE"/>
        </w:rPr>
      </w:pPr>
      <w:r w:rsidRPr="00752DF8">
        <w:rPr>
          <w:rFonts w:eastAsiaTheme="minorHAnsi"/>
          <w:color w:val="000000"/>
          <w:sz w:val="24"/>
          <w:szCs w:val="24"/>
          <w:lang w:val="fr-BE"/>
        </w:rPr>
        <w:t>L’action devra veiller à ce que les orientations prioritaires en lien avec l’organisation des élections se retrouvent bien dans la loi de finances, ce qui pourrait impliquer un dialogue régulier avec les ministres du budget et des finances, mais aussi avec les assemblées parlementaires. Elle s’inscrira plus largement dans la lutte contre la corruption et l’impunité.</w:t>
      </w:r>
    </w:p>
    <w:p w14:paraId="4495F057" w14:textId="77777777" w:rsidR="00C72555" w:rsidRPr="00B04621" w:rsidRDefault="00C72555" w:rsidP="000F3DF1">
      <w:pPr>
        <w:pStyle w:val="BodyText"/>
        <w:spacing w:before="10"/>
        <w:jc w:val="both"/>
        <w:rPr>
          <w:rFonts w:eastAsiaTheme="minorHAnsi"/>
          <w:color w:val="000000"/>
          <w:sz w:val="24"/>
          <w:szCs w:val="24"/>
          <w:lang w:val="fr-BE"/>
        </w:rPr>
      </w:pPr>
    </w:p>
    <w:p w14:paraId="709BD161" w14:textId="77777777" w:rsidR="003C3B35" w:rsidRPr="004B3C7E" w:rsidRDefault="00FB4289" w:rsidP="000D0D7C">
      <w:pPr>
        <w:pStyle w:val="Heading11"/>
        <w:numPr>
          <w:ilvl w:val="0"/>
          <w:numId w:val="22"/>
        </w:numPr>
        <w:rPr>
          <w:sz w:val="28"/>
          <w:szCs w:val="28"/>
        </w:rPr>
      </w:pPr>
      <w:bookmarkStart w:id="6" w:name="_Toc151566938"/>
      <w:r w:rsidRPr="004B3C7E">
        <w:rPr>
          <w:sz w:val="28"/>
          <w:szCs w:val="28"/>
        </w:rPr>
        <w:t>Suivi et évaluation</w:t>
      </w:r>
      <w:bookmarkEnd w:id="6"/>
    </w:p>
    <w:p w14:paraId="24BC69DB" w14:textId="77777777" w:rsidR="00AA3560" w:rsidRDefault="00AA3560" w:rsidP="00AA3560">
      <w:pPr>
        <w:pStyle w:val="ListParagraph"/>
        <w:ind w:left="0" w:firstLine="0"/>
        <w:rPr>
          <w:b/>
          <w:color w:val="0D0D0D" w:themeColor="text1" w:themeTint="F2"/>
          <w:sz w:val="20"/>
          <w:szCs w:val="20"/>
        </w:rPr>
      </w:pPr>
    </w:p>
    <w:p w14:paraId="79B89BC8" w14:textId="67ADB971" w:rsidR="003C3B35" w:rsidRPr="00752DF8" w:rsidRDefault="00FB4289" w:rsidP="00F85997">
      <w:pPr>
        <w:pStyle w:val="BodyText"/>
        <w:spacing w:before="5" w:line="247" w:lineRule="auto"/>
        <w:ind w:right="9"/>
        <w:jc w:val="both"/>
        <w:rPr>
          <w:rFonts w:eastAsiaTheme="minorHAnsi"/>
          <w:color w:val="000000"/>
          <w:sz w:val="24"/>
          <w:szCs w:val="24"/>
          <w:lang w:val="fr-BE"/>
        </w:rPr>
      </w:pPr>
      <w:r w:rsidRPr="00752DF8">
        <w:rPr>
          <w:rFonts w:eastAsiaTheme="minorHAnsi"/>
          <w:color w:val="000000"/>
          <w:sz w:val="24"/>
          <w:szCs w:val="24"/>
          <w:lang w:val="fr-BE"/>
        </w:rPr>
        <w:t>Le cadre logique de chaque proposition</w:t>
      </w:r>
      <w:r w:rsidR="006461EE" w:rsidRPr="00752DF8">
        <w:rPr>
          <w:rFonts w:eastAsiaTheme="minorHAnsi"/>
          <w:color w:val="000000"/>
          <w:sz w:val="24"/>
          <w:szCs w:val="24"/>
          <w:lang w:val="fr-BE"/>
        </w:rPr>
        <w:t xml:space="preserve"> </w:t>
      </w:r>
      <w:r w:rsidRPr="00752DF8">
        <w:rPr>
          <w:rFonts w:eastAsiaTheme="minorHAnsi"/>
          <w:color w:val="000000"/>
          <w:sz w:val="24"/>
          <w:szCs w:val="24"/>
          <w:lang w:val="fr-BE"/>
        </w:rPr>
        <w:t xml:space="preserve">doit être inspiré du </w:t>
      </w:r>
      <w:r w:rsidR="00A71AD3" w:rsidRPr="00752DF8">
        <w:rPr>
          <w:rFonts w:eastAsiaTheme="minorHAnsi"/>
          <w:color w:val="000000"/>
          <w:sz w:val="24"/>
          <w:szCs w:val="24"/>
          <w:lang w:val="fr-BE"/>
        </w:rPr>
        <w:t xml:space="preserve">modèle de </w:t>
      </w:r>
      <w:r w:rsidRPr="00752DF8">
        <w:rPr>
          <w:rFonts w:eastAsiaTheme="minorHAnsi"/>
          <w:color w:val="000000"/>
          <w:sz w:val="24"/>
          <w:szCs w:val="24"/>
          <w:lang w:val="fr-BE"/>
        </w:rPr>
        <w:t>cadre logique</w:t>
      </w:r>
      <w:r w:rsidR="00A71AD3" w:rsidRPr="00752DF8">
        <w:rPr>
          <w:rFonts w:eastAsiaTheme="minorHAnsi"/>
          <w:color w:val="000000"/>
          <w:sz w:val="24"/>
          <w:szCs w:val="24"/>
          <w:lang w:val="fr-BE"/>
        </w:rPr>
        <w:t xml:space="preserve"> présenté</w:t>
      </w:r>
      <w:r w:rsidRPr="00752DF8">
        <w:rPr>
          <w:rFonts w:eastAsiaTheme="minorHAnsi"/>
          <w:color w:val="000000"/>
          <w:sz w:val="24"/>
          <w:szCs w:val="24"/>
          <w:lang w:val="fr-BE"/>
        </w:rPr>
        <w:t xml:space="preserve"> en Annexe 1.</w:t>
      </w:r>
    </w:p>
    <w:p w14:paraId="53BD1230" w14:textId="38977B28" w:rsidR="00657C18" w:rsidRPr="00752DF8" w:rsidRDefault="00FB4289" w:rsidP="00F85997">
      <w:pPr>
        <w:pStyle w:val="BodyText"/>
        <w:spacing w:before="40" w:after="60" w:line="247" w:lineRule="auto"/>
        <w:ind w:right="9"/>
        <w:jc w:val="both"/>
        <w:rPr>
          <w:rFonts w:eastAsiaTheme="minorHAnsi"/>
          <w:color w:val="000000"/>
          <w:sz w:val="24"/>
          <w:szCs w:val="24"/>
          <w:lang w:val="fr-BE"/>
        </w:rPr>
      </w:pPr>
      <w:r w:rsidRPr="00752DF8">
        <w:rPr>
          <w:rFonts w:eastAsiaTheme="minorHAnsi"/>
          <w:color w:val="000000"/>
          <w:sz w:val="24"/>
          <w:szCs w:val="24"/>
          <w:lang w:val="fr-BE"/>
        </w:rPr>
        <w:t xml:space="preserve">Les bénéficiaires des subventions sont tenus </w:t>
      </w:r>
      <w:r w:rsidR="00657C18" w:rsidRPr="00752DF8">
        <w:rPr>
          <w:rFonts w:eastAsiaTheme="minorHAnsi"/>
          <w:color w:val="000000"/>
          <w:sz w:val="24"/>
          <w:szCs w:val="24"/>
          <w:lang w:val="fr-BE"/>
        </w:rPr>
        <w:t>d’organiser un dispositif de suivi qui soit intégré et harmonisé avec celui du Programme et donc avec celui</w:t>
      </w:r>
      <w:r w:rsidR="00BC4E37" w:rsidRPr="00752DF8">
        <w:rPr>
          <w:rFonts w:eastAsiaTheme="minorHAnsi"/>
          <w:color w:val="000000"/>
          <w:sz w:val="24"/>
          <w:szCs w:val="24"/>
          <w:lang w:val="fr-BE"/>
        </w:rPr>
        <w:t>/ceux</w:t>
      </w:r>
      <w:r w:rsidR="00657C18" w:rsidRPr="00752DF8">
        <w:rPr>
          <w:rFonts w:eastAsiaTheme="minorHAnsi"/>
          <w:color w:val="000000"/>
          <w:sz w:val="24"/>
          <w:szCs w:val="24"/>
          <w:lang w:val="fr-BE"/>
        </w:rPr>
        <w:t xml:space="preserve"> du ou des autres consortia.</w:t>
      </w:r>
    </w:p>
    <w:p w14:paraId="7A3C0F75" w14:textId="426DCCFE" w:rsidR="00BC4E37" w:rsidRDefault="00BC4E37" w:rsidP="00752DF8">
      <w:pPr>
        <w:pStyle w:val="BodyText"/>
        <w:spacing w:before="40" w:after="60" w:line="247" w:lineRule="auto"/>
        <w:ind w:right="9"/>
        <w:jc w:val="both"/>
        <w:rPr>
          <w:rFonts w:eastAsiaTheme="minorHAnsi"/>
          <w:color w:val="000000"/>
          <w:sz w:val="24"/>
          <w:szCs w:val="24"/>
          <w:lang w:val="fr-BE"/>
        </w:rPr>
      </w:pPr>
      <w:r w:rsidRPr="00752DF8">
        <w:rPr>
          <w:rFonts w:eastAsiaTheme="minorHAnsi"/>
          <w:color w:val="000000"/>
          <w:sz w:val="24"/>
          <w:szCs w:val="24"/>
          <w:lang w:val="fr-BE"/>
        </w:rPr>
        <w:t xml:space="preserve">Les bénéficiaires </w:t>
      </w:r>
      <w:r w:rsidR="00C23509" w:rsidRPr="00752DF8">
        <w:rPr>
          <w:rFonts w:eastAsiaTheme="minorHAnsi"/>
          <w:color w:val="000000"/>
          <w:sz w:val="24"/>
          <w:szCs w:val="24"/>
          <w:lang w:val="fr-BE"/>
        </w:rPr>
        <w:t>devront présenter une</w:t>
      </w:r>
      <w:r w:rsidR="00FB4289" w:rsidRPr="00752DF8">
        <w:rPr>
          <w:rFonts w:eastAsiaTheme="minorHAnsi"/>
          <w:color w:val="000000"/>
          <w:sz w:val="24"/>
          <w:szCs w:val="24"/>
          <w:lang w:val="fr-BE"/>
        </w:rPr>
        <w:t xml:space="preserve"> situation de référence (</w:t>
      </w:r>
      <w:proofErr w:type="spellStart"/>
      <w:r w:rsidR="00FB4289" w:rsidRPr="00805C70">
        <w:rPr>
          <w:rFonts w:eastAsiaTheme="minorHAnsi"/>
          <w:i/>
          <w:color w:val="000000"/>
          <w:sz w:val="24"/>
          <w:szCs w:val="24"/>
          <w:lang w:val="fr-BE"/>
        </w:rPr>
        <w:t>baseline</w:t>
      </w:r>
      <w:proofErr w:type="spellEnd"/>
      <w:r w:rsidR="00FB4289" w:rsidRPr="00752DF8">
        <w:rPr>
          <w:rFonts w:eastAsiaTheme="minorHAnsi"/>
          <w:color w:val="000000"/>
          <w:sz w:val="24"/>
          <w:szCs w:val="24"/>
          <w:lang w:val="fr-BE"/>
        </w:rPr>
        <w:t xml:space="preserve">) et </w:t>
      </w:r>
      <w:r w:rsidR="00EC1B25" w:rsidRPr="00752DF8">
        <w:rPr>
          <w:rFonts w:eastAsiaTheme="minorHAnsi"/>
          <w:color w:val="000000"/>
          <w:sz w:val="24"/>
          <w:szCs w:val="24"/>
          <w:lang w:val="fr-BE"/>
        </w:rPr>
        <w:t>une</w:t>
      </w:r>
      <w:r w:rsidR="00FB4289" w:rsidRPr="00752DF8">
        <w:rPr>
          <w:rFonts w:eastAsiaTheme="minorHAnsi"/>
          <w:color w:val="000000"/>
          <w:sz w:val="24"/>
          <w:szCs w:val="24"/>
          <w:lang w:val="fr-BE"/>
        </w:rPr>
        <w:t xml:space="preserve"> situation finale (</w:t>
      </w:r>
      <w:proofErr w:type="spellStart"/>
      <w:r w:rsidR="00FB4289" w:rsidRPr="00D67133">
        <w:rPr>
          <w:rFonts w:eastAsiaTheme="minorHAnsi"/>
          <w:i/>
          <w:color w:val="000000"/>
          <w:sz w:val="24"/>
          <w:szCs w:val="24"/>
          <w:lang w:val="fr-BE"/>
        </w:rPr>
        <w:t>endline</w:t>
      </w:r>
      <w:proofErr w:type="spellEnd"/>
      <w:r w:rsidR="00FB4289" w:rsidRPr="00752DF8">
        <w:rPr>
          <w:rFonts w:eastAsiaTheme="minorHAnsi"/>
          <w:color w:val="000000"/>
          <w:sz w:val="24"/>
          <w:szCs w:val="24"/>
          <w:lang w:val="fr-BE"/>
        </w:rPr>
        <w:t xml:space="preserve">) </w:t>
      </w:r>
      <w:r w:rsidR="00EC1B25" w:rsidRPr="00752DF8">
        <w:rPr>
          <w:rFonts w:eastAsiaTheme="minorHAnsi"/>
          <w:color w:val="000000"/>
          <w:sz w:val="24"/>
          <w:szCs w:val="24"/>
          <w:lang w:val="fr-BE"/>
        </w:rPr>
        <w:t>qui seront</w:t>
      </w:r>
      <w:r w:rsidR="00FB4289" w:rsidRPr="00752DF8">
        <w:rPr>
          <w:rFonts w:eastAsiaTheme="minorHAnsi"/>
          <w:color w:val="000000"/>
          <w:sz w:val="24"/>
          <w:szCs w:val="24"/>
          <w:lang w:val="fr-BE"/>
        </w:rPr>
        <w:t xml:space="preserve"> </w:t>
      </w:r>
      <w:r w:rsidR="00EC1B25" w:rsidRPr="00752DF8">
        <w:rPr>
          <w:rFonts w:eastAsiaTheme="minorHAnsi"/>
          <w:color w:val="000000"/>
          <w:sz w:val="24"/>
          <w:szCs w:val="24"/>
          <w:lang w:val="fr-BE"/>
        </w:rPr>
        <w:t>inclues</w:t>
      </w:r>
      <w:r w:rsidR="00FB4289" w:rsidRPr="00752DF8">
        <w:rPr>
          <w:rFonts w:eastAsiaTheme="minorHAnsi"/>
          <w:color w:val="000000"/>
          <w:sz w:val="24"/>
          <w:szCs w:val="24"/>
          <w:lang w:val="fr-BE"/>
        </w:rPr>
        <w:t xml:space="preserve"> dans le cadre logique</w:t>
      </w:r>
      <w:r w:rsidR="00C23509" w:rsidRPr="00752DF8">
        <w:rPr>
          <w:rFonts w:eastAsiaTheme="minorHAnsi"/>
          <w:color w:val="000000"/>
          <w:sz w:val="24"/>
          <w:szCs w:val="24"/>
          <w:lang w:val="fr-BE"/>
        </w:rPr>
        <w:t>.</w:t>
      </w:r>
      <w:r w:rsidR="00657C18" w:rsidRPr="00752DF8">
        <w:rPr>
          <w:rFonts w:eastAsiaTheme="minorHAnsi"/>
          <w:color w:val="000000"/>
          <w:sz w:val="24"/>
          <w:szCs w:val="24"/>
          <w:lang w:val="fr-BE"/>
        </w:rPr>
        <w:t xml:space="preserve"> </w:t>
      </w:r>
      <w:r w:rsidR="00EC1B25" w:rsidRPr="00752DF8">
        <w:rPr>
          <w:rFonts w:eastAsiaTheme="minorHAnsi"/>
          <w:color w:val="000000"/>
          <w:sz w:val="24"/>
          <w:szCs w:val="24"/>
          <w:lang w:val="fr-BE"/>
        </w:rPr>
        <w:t>Celui-ci</w:t>
      </w:r>
      <w:r w:rsidR="00C23509" w:rsidRPr="00752DF8">
        <w:rPr>
          <w:rFonts w:eastAsiaTheme="minorHAnsi"/>
          <w:color w:val="000000"/>
          <w:sz w:val="24"/>
          <w:szCs w:val="24"/>
          <w:lang w:val="fr-BE"/>
        </w:rPr>
        <w:t xml:space="preserve"> </w:t>
      </w:r>
      <w:r w:rsidR="00EC1B25" w:rsidRPr="00752DF8">
        <w:rPr>
          <w:rFonts w:eastAsiaTheme="minorHAnsi"/>
          <w:color w:val="000000"/>
          <w:sz w:val="24"/>
          <w:szCs w:val="24"/>
          <w:lang w:val="fr-BE"/>
        </w:rPr>
        <w:t>pourra être ultérieurement révisé</w:t>
      </w:r>
      <w:r w:rsidR="00C23509" w:rsidRPr="00752DF8">
        <w:rPr>
          <w:rFonts w:eastAsiaTheme="minorHAnsi"/>
          <w:color w:val="000000"/>
          <w:sz w:val="24"/>
          <w:szCs w:val="24"/>
          <w:lang w:val="fr-BE"/>
        </w:rPr>
        <w:t xml:space="preserve"> en cours d’exécution en étroite coordination avec l’Assistance Technique</w:t>
      </w:r>
      <w:r w:rsidR="00752DF8">
        <w:rPr>
          <w:rFonts w:eastAsiaTheme="minorHAnsi"/>
          <w:color w:val="000000"/>
          <w:sz w:val="24"/>
          <w:szCs w:val="24"/>
          <w:lang w:val="fr-BE"/>
        </w:rPr>
        <w:t xml:space="preserve"> (qui doit être prévue dans le lot 1) </w:t>
      </w:r>
      <w:r w:rsidR="00C23509" w:rsidRPr="00752DF8">
        <w:rPr>
          <w:rFonts w:eastAsiaTheme="minorHAnsi"/>
          <w:color w:val="000000"/>
          <w:sz w:val="24"/>
          <w:szCs w:val="24"/>
          <w:lang w:val="fr-BE"/>
        </w:rPr>
        <w:t xml:space="preserve">pour </w:t>
      </w:r>
      <w:r w:rsidR="00EC1B25" w:rsidRPr="00752DF8">
        <w:rPr>
          <w:rFonts w:eastAsiaTheme="minorHAnsi"/>
          <w:color w:val="000000"/>
          <w:sz w:val="24"/>
          <w:szCs w:val="24"/>
          <w:lang w:val="fr-BE"/>
        </w:rPr>
        <w:t>son</w:t>
      </w:r>
      <w:r w:rsidR="00C23509" w:rsidRPr="00752DF8">
        <w:rPr>
          <w:rFonts w:eastAsiaTheme="minorHAnsi"/>
          <w:color w:val="000000"/>
          <w:sz w:val="24"/>
          <w:szCs w:val="24"/>
          <w:lang w:val="fr-BE"/>
        </w:rPr>
        <w:t xml:space="preserve"> harmonisation avec l</w:t>
      </w:r>
      <w:r w:rsidR="00657C18" w:rsidRPr="00752DF8">
        <w:rPr>
          <w:rFonts w:eastAsiaTheme="minorHAnsi"/>
          <w:color w:val="000000"/>
          <w:sz w:val="24"/>
          <w:szCs w:val="24"/>
          <w:lang w:val="fr-BE"/>
        </w:rPr>
        <w:t>’ensemble</w:t>
      </w:r>
      <w:r w:rsidR="00C23509" w:rsidRPr="00752DF8">
        <w:rPr>
          <w:rFonts w:eastAsiaTheme="minorHAnsi"/>
          <w:color w:val="000000"/>
          <w:sz w:val="24"/>
          <w:szCs w:val="24"/>
          <w:lang w:val="fr-BE"/>
        </w:rPr>
        <w:t xml:space="preserve"> des interventions</w:t>
      </w:r>
      <w:r w:rsidR="00657C18" w:rsidRPr="00752DF8">
        <w:rPr>
          <w:rFonts w:eastAsiaTheme="minorHAnsi"/>
          <w:color w:val="000000"/>
          <w:sz w:val="24"/>
          <w:szCs w:val="24"/>
          <w:lang w:val="fr-BE"/>
        </w:rPr>
        <w:t xml:space="preserve"> du Programme</w:t>
      </w:r>
      <w:r w:rsidR="00FB4289" w:rsidRPr="00752DF8">
        <w:rPr>
          <w:rFonts w:eastAsiaTheme="minorHAnsi"/>
          <w:color w:val="000000"/>
          <w:sz w:val="24"/>
          <w:szCs w:val="24"/>
          <w:lang w:val="fr-BE"/>
        </w:rPr>
        <w:t>.</w:t>
      </w:r>
    </w:p>
    <w:p w14:paraId="2A543E6C" w14:textId="0B2487DF" w:rsidR="00752DF8" w:rsidRPr="00752DF8" w:rsidRDefault="00752DF8" w:rsidP="00752DF8">
      <w:pPr>
        <w:pStyle w:val="BodyText"/>
        <w:spacing w:before="40" w:after="60" w:line="247" w:lineRule="auto"/>
        <w:ind w:right="9"/>
        <w:jc w:val="both"/>
        <w:rPr>
          <w:rFonts w:eastAsiaTheme="minorHAnsi"/>
          <w:color w:val="000000"/>
          <w:sz w:val="24"/>
          <w:szCs w:val="24"/>
          <w:lang w:val="fr-BE"/>
        </w:rPr>
      </w:pPr>
      <w:r w:rsidRPr="00752DF8">
        <w:rPr>
          <w:rFonts w:eastAsiaTheme="minorHAnsi"/>
          <w:b/>
          <w:sz w:val="24"/>
          <w:szCs w:val="24"/>
          <w:lang w:val="fr-BE"/>
        </w:rPr>
        <w:t>L’assistance technique démocratie/élections est inclue dans la subvention relative au lot 1</w:t>
      </w:r>
      <w:r w:rsidR="00904D78" w:rsidRPr="00904D78">
        <w:t xml:space="preserve"> </w:t>
      </w:r>
      <w:r w:rsidR="00904D78" w:rsidRPr="00904D78">
        <w:rPr>
          <w:rFonts w:eastAsiaTheme="minorHAnsi"/>
          <w:b/>
          <w:sz w:val="24"/>
          <w:szCs w:val="24"/>
          <w:lang w:val="fr-BE"/>
        </w:rPr>
        <w:t>Appui aux élections et renforcement de la culture démocratique</w:t>
      </w:r>
      <w:r w:rsidRPr="00752DF8">
        <w:rPr>
          <w:rFonts w:eastAsiaTheme="minorHAnsi"/>
          <w:color w:val="000000"/>
          <w:sz w:val="24"/>
          <w:szCs w:val="24"/>
          <w:lang w:val="fr-BE"/>
        </w:rPr>
        <w:t>. L’action est coordonnée par une comité technique présidé par la Délégation et facilité par l’assistance technique démocratie/élections.</w:t>
      </w:r>
      <w:r w:rsidR="007A67C6">
        <w:rPr>
          <w:rFonts w:eastAsiaTheme="minorHAnsi"/>
          <w:color w:val="000000"/>
          <w:sz w:val="24"/>
          <w:szCs w:val="24"/>
          <w:lang w:val="fr-BE"/>
        </w:rPr>
        <w:t xml:space="preserve"> </w:t>
      </w:r>
      <w:r w:rsidRPr="00752DF8">
        <w:rPr>
          <w:rFonts w:eastAsiaTheme="minorHAnsi"/>
          <w:color w:val="000000"/>
          <w:sz w:val="24"/>
          <w:szCs w:val="24"/>
          <w:lang w:val="fr-BE"/>
        </w:rPr>
        <w:t xml:space="preserve">L’assistance technique sera chargée de la création d’un Comité de coordination et consultation, qui constitue un cadre de dialogue entre les parties prenantes, pour assurer une gouvernance cohérente et coordonnée de l’action avec les activités des autres projets de soutien à la démocratie. </w:t>
      </w:r>
    </w:p>
    <w:p w14:paraId="7CEB845B" w14:textId="338F20E6" w:rsidR="00752DF8" w:rsidRPr="00752DF8" w:rsidRDefault="00752DF8" w:rsidP="00752DF8">
      <w:pPr>
        <w:pStyle w:val="BodyText"/>
        <w:spacing w:before="40" w:after="60" w:line="247" w:lineRule="auto"/>
        <w:ind w:right="9"/>
        <w:jc w:val="both"/>
        <w:rPr>
          <w:rFonts w:eastAsiaTheme="minorHAnsi"/>
          <w:color w:val="000000"/>
          <w:sz w:val="24"/>
          <w:szCs w:val="24"/>
          <w:lang w:val="fr-BE"/>
        </w:rPr>
      </w:pPr>
      <w:r w:rsidRPr="00752DF8">
        <w:rPr>
          <w:rFonts w:eastAsiaTheme="minorHAnsi"/>
          <w:color w:val="000000"/>
          <w:sz w:val="24"/>
          <w:szCs w:val="24"/>
          <w:lang w:val="fr-BE"/>
        </w:rPr>
        <w:t xml:space="preserve">La participation au comité de consultation pourra être élargie en fonction de l’ordre du jour, en particulier aux </w:t>
      </w:r>
      <w:r w:rsidR="007A67C6" w:rsidRPr="00752DF8">
        <w:rPr>
          <w:rFonts w:eastAsiaTheme="minorHAnsi"/>
          <w:color w:val="000000"/>
          <w:sz w:val="24"/>
          <w:szCs w:val="24"/>
          <w:lang w:val="fr-BE"/>
        </w:rPr>
        <w:t>représentants</w:t>
      </w:r>
      <w:r w:rsidRPr="00752DF8">
        <w:rPr>
          <w:rFonts w:eastAsiaTheme="minorHAnsi"/>
          <w:color w:val="000000"/>
          <w:sz w:val="24"/>
          <w:szCs w:val="24"/>
          <w:lang w:val="fr-BE"/>
        </w:rPr>
        <w:t xml:space="preserve"> de la </w:t>
      </w:r>
      <w:r w:rsidR="007A67C6" w:rsidRPr="00752DF8">
        <w:rPr>
          <w:rFonts w:eastAsiaTheme="minorHAnsi"/>
          <w:color w:val="000000"/>
          <w:sz w:val="24"/>
          <w:szCs w:val="24"/>
          <w:lang w:val="fr-BE"/>
        </w:rPr>
        <w:t>société</w:t>
      </w:r>
      <w:r w:rsidRPr="00752DF8">
        <w:rPr>
          <w:rFonts w:eastAsiaTheme="minorHAnsi"/>
          <w:color w:val="000000"/>
          <w:sz w:val="24"/>
          <w:szCs w:val="24"/>
          <w:lang w:val="fr-BE"/>
        </w:rPr>
        <w:t xml:space="preserve"> civile et du secteur privé. Le Comité de consultation permettra de faire le suivi des activités prévues dans le cadre de l’action. Il se réunit en principe quatre fois par an. Des réunions extraordinaires pourront être convoquées selon les besoins.</w:t>
      </w:r>
    </w:p>
    <w:p w14:paraId="0F5EBD0D" w14:textId="77777777" w:rsidR="00752DF8" w:rsidRPr="00752DF8" w:rsidRDefault="00752DF8" w:rsidP="007A67C6">
      <w:pPr>
        <w:pStyle w:val="Heading11"/>
        <w:spacing w:before="120" w:after="120"/>
        <w:ind w:left="0" w:firstLine="0"/>
        <w:rPr>
          <w:color w:val="365F91" w:themeColor="accent1" w:themeShade="BF"/>
        </w:rPr>
      </w:pPr>
      <w:bookmarkStart w:id="7" w:name="_Toc151566940"/>
    </w:p>
    <w:bookmarkEnd w:id="7"/>
    <w:p w14:paraId="3F98F464" w14:textId="77777777" w:rsidR="00F40260" w:rsidRPr="00F40260" w:rsidRDefault="00F40260" w:rsidP="004A4572">
      <w:pPr>
        <w:tabs>
          <w:tab w:val="left" w:pos="594"/>
        </w:tabs>
        <w:spacing w:line="247" w:lineRule="auto"/>
        <w:ind w:right="113"/>
        <w:rPr>
          <w:sz w:val="20"/>
        </w:rPr>
        <w:sectPr w:rsidR="00F40260" w:rsidRPr="00F40260">
          <w:headerReference w:type="default" r:id="rId17"/>
          <w:footerReference w:type="default" r:id="rId18"/>
          <w:pgSz w:w="12240" w:h="15840"/>
          <w:pgMar w:top="1120" w:right="1640" w:bottom="880" w:left="1660" w:header="655" w:footer="694" w:gutter="0"/>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452"/>
        <w:gridCol w:w="2492"/>
        <w:gridCol w:w="1456"/>
        <w:gridCol w:w="1643"/>
        <w:gridCol w:w="1905"/>
        <w:gridCol w:w="1816"/>
      </w:tblGrid>
      <w:tr w:rsidR="005B22BD" w:rsidRPr="005B22BD" w14:paraId="1FC5F9FC" w14:textId="77777777" w:rsidTr="005B22BD">
        <w:trPr>
          <w:trHeight w:val="719"/>
          <w:tblHeader/>
        </w:trPr>
        <w:tc>
          <w:tcPr>
            <w:tcW w:w="711" w:type="pct"/>
            <w:tcBorders>
              <w:bottom w:val="single" w:sz="4" w:space="0" w:color="auto"/>
            </w:tcBorders>
            <w:shd w:val="clear" w:color="auto" w:fill="BFBFBF"/>
          </w:tcPr>
          <w:p w14:paraId="3FD96ED2" w14:textId="77777777" w:rsidR="005B22BD" w:rsidRPr="005B22BD" w:rsidRDefault="005B22BD" w:rsidP="005B22BD">
            <w:pPr>
              <w:widowControl/>
              <w:autoSpaceDE/>
              <w:autoSpaceDN/>
              <w:jc w:val="both"/>
              <w:rPr>
                <w:rFonts w:eastAsia="Calibri"/>
                <w:b/>
                <w:bCs/>
                <w:color w:val="0D0D0D"/>
                <w:lang w:val="fr-BE"/>
              </w:rPr>
            </w:pPr>
          </w:p>
          <w:p w14:paraId="137D3BD8" w14:textId="77777777" w:rsidR="005B22BD" w:rsidRPr="005B22BD" w:rsidRDefault="005B22BD" w:rsidP="005B22BD">
            <w:pPr>
              <w:widowControl/>
              <w:autoSpaceDE/>
              <w:autoSpaceDN/>
              <w:jc w:val="both"/>
              <w:rPr>
                <w:rFonts w:eastAsia="Calibri"/>
                <w:b/>
                <w:bCs/>
                <w:color w:val="0D0D0D"/>
                <w:lang w:val="en-GB"/>
              </w:rPr>
            </w:pPr>
            <w:proofErr w:type="spellStart"/>
            <w:r w:rsidRPr="005B22BD">
              <w:rPr>
                <w:rFonts w:eastAsia="Calibri"/>
                <w:b/>
                <w:bCs/>
                <w:color w:val="0D0D0D"/>
                <w:lang w:val="en-GB"/>
              </w:rPr>
              <w:t>Résultats</w:t>
            </w:r>
            <w:proofErr w:type="spellEnd"/>
          </w:p>
        </w:tc>
        <w:tc>
          <w:tcPr>
            <w:tcW w:w="1051" w:type="pct"/>
            <w:tcBorders>
              <w:bottom w:val="single" w:sz="4" w:space="0" w:color="auto"/>
            </w:tcBorders>
            <w:shd w:val="clear" w:color="auto" w:fill="BFBFBF"/>
          </w:tcPr>
          <w:p w14:paraId="466D80DF" w14:textId="77777777" w:rsidR="005B22BD" w:rsidRPr="005B22BD" w:rsidRDefault="005B22BD" w:rsidP="005B22BD">
            <w:pPr>
              <w:widowControl/>
              <w:autoSpaceDE/>
              <w:autoSpaceDN/>
              <w:jc w:val="both"/>
              <w:rPr>
                <w:rFonts w:eastAsia="Calibri"/>
                <w:b/>
                <w:color w:val="0D0D0D"/>
                <w:sz w:val="20"/>
                <w:lang w:val="en-GB"/>
              </w:rPr>
            </w:pPr>
            <w:proofErr w:type="spellStart"/>
            <w:r w:rsidRPr="005B22BD">
              <w:rPr>
                <w:rFonts w:eastAsia="Calibri"/>
                <w:b/>
                <w:color w:val="0D0D0D"/>
                <w:sz w:val="20"/>
                <w:lang w:val="en-GB"/>
              </w:rPr>
              <w:t>Chaine</w:t>
            </w:r>
            <w:proofErr w:type="spellEnd"/>
            <w:r w:rsidRPr="005B22BD">
              <w:rPr>
                <w:rFonts w:eastAsia="Calibri"/>
                <w:b/>
                <w:color w:val="0D0D0D"/>
                <w:sz w:val="20"/>
                <w:lang w:val="en-GB"/>
              </w:rPr>
              <w:t xml:space="preserve"> de </w:t>
            </w:r>
            <w:proofErr w:type="spellStart"/>
            <w:r w:rsidRPr="005B22BD">
              <w:rPr>
                <w:rFonts w:eastAsia="Calibri"/>
                <w:b/>
                <w:color w:val="0D0D0D"/>
                <w:sz w:val="20"/>
                <w:lang w:val="en-GB"/>
              </w:rPr>
              <w:t>résultats</w:t>
            </w:r>
            <w:proofErr w:type="spellEnd"/>
            <w:r w:rsidRPr="005B22BD">
              <w:rPr>
                <w:rFonts w:eastAsia="Calibri"/>
                <w:b/>
                <w:color w:val="0D0D0D"/>
                <w:sz w:val="20"/>
                <w:lang w:val="en-GB"/>
              </w:rPr>
              <w:t xml:space="preserve"> </w:t>
            </w:r>
            <w:r w:rsidRPr="005B22BD">
              <w:rPr>
                <w:rFonts w:eastAsia="Calibri"/>
                <w:lang w:val="en-GB"/>
              </w:rPr>
              <w:t>(</w:t>
            </w:r>
            <w:hyperlink r:id="rId19" w:history="1">
              <w:r w:rsidRPr="005B22BD">
                <w:rPr>
                  <w:rFonts w:ascii="Courier New" w:eastAsia="Calibri" w:hAnsi="Courier New" w:cs="Courier New"/>
                  <w:b/>
                  <w:color w:val="0563C1"/>
                  <w:u w:val="single"/>
                  <w:lang w:val="en-GB"/>
                </w:rPr>
                <w:t>@</w:t>
              </w:r>
            </w:hyperlink>
            <w:r w:rsidRPr="005B22BD">
              <w:rPr>
                <w:rFonts w:eastAsia="Calibri"/>
                <w:lang w:val="en-GB"/>
              </w:rPr>
              <w:t>)</w:t>
            </w:r>
            <w:r w:rsidRPr="005B22BD">
              <w:rPr>
                <w:rFonts w:eastAsia="Calibri"/>
                <w:b/>
                <w:color w:val="0D0D0D"/>
                <w:sz w:val="20"/>
                <w:lang w:val="en-GB"/>
              </w:rPr>
              <w:t>:</w:t>
            </w:r>
          </w:p>
          <w:p w14:paraId="71F5B5B6" w14:textId="77777777" w:rsidR="005B22BD" w:rsidRPr="005B22BD" w:rsidRDefault="005B22BD" w:rsidP="005B22BD">
            <w:pPr>
              <w:widowControl/>
              <w:autoSpaceDE/>
              <w:autoSpaceDN/>
              <w:jc w:val="both"/>
              <w:rPr>
                <w:rFonts w:eastAsia="Calibri"/>
                <w:b/>
                <w:color w:val="0D0D0D"/>
                <w:sz w:val="20"/>
                <w:lang w:val="en-GB"/>
              </w:rPr>
            </w:pPr>
            <w:r w:rsidRPr="005B22BD">
              <w:rPr>
                <w:rFonts w:eastAsia="Calibri"/>
                <w:b/>
                <w:color w:val="0D0D0D"/>
                <w:sz w:val="20"/>
                <w:lang w:val="en-GB"/>
              </w:rPr>
              <w:t>(maximum 10)</w:t>
            </w:r>
          </w:p>
        </w:tc>
        <w:tc>
          <w:tcPr>
            <w:tcW w:w="1066" w:type="pct"/>
            <w:tcBorders>
              <w:bottom w:val="single" w:sz="4" w:space="0" w:color="auto"/>
            </w:tcBorders>
            <w:shd w:val="clear" w:color="auto" w:fill="BFBFBF"/>
          </w:tcPr>
          <w:p w14:paraId="7A490AFD"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 xml:space="preserve">Indicateurs </w:t>
            </w:r>
            <w:r w:rsidRPr="005B22BD">
              <w:rPr>
                <w:rFonts w:eastAsia="Calibri"/>
                <w:lang w:val="fr-BE"/>
              </w:rPr>
              <w:t>(</w:t>
            </w:r>
            <w:hyperlink r:id="rId20" w:history="1">
              <w:r w:rsidRPr="005B22BD">
                <w:rPr>
                  <w:rFonts w:ascii="Courier New" w:eastAsia="Calibri" w:hAnsi="Courier New" w:cs="Courier New"/>
                  <w:b/>
                  <w:color w:val="0563C1"/>
                  <w:u w:val="single"/>
                  <w:lang w:val="fr-BE"/>
                </w:rPr>
                <w:t>@</w:t>
              </w:r>
            </w:hyperlink>
            <w:r w:rsidRPr="005B22BD">
              <w:rPr>
                <w:rFonts w:eastAsia="Calibri"/>
                <w:lang w:val="fr-BE"/>
              </w:rPr>
              <w:t>):</w:t>
            </w:r>
          </w:p>
          <w:p w14:paraId="5F37801F"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(au moins un indicateur par résultat attendu)</w:t>
            </w:r>
          </w:p>
        </w:tc>
        <w:tc>
          <w:tcPr>
            <w:tcW w:w="453" w:type="pct"/>
            <w:tcBorders>
              <w:bottom w:val="single" w:sz="4" w:space="0" w:color="auto"/>
            </w:tcBorders>
            <w:shd w:val="clear" w:color="auto" w:fill="BFBFBF"/>
          </w:tcPr>
          <w:p w14:paraId="6F3B1AF9"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Valeurs de référence</w:t>
            </w:r>
          </w:p>
          <w:p w14:paraId="4986AA02"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 valeurs et années )</w:t>
            </w:r>
          </w:p>
        </w:tc>
        <w:tc>
          <w:tcPr>
            <w:tcW w:w="526" w:type="pct"/>
            <w:tcBorders>
              <w:bottom w:val="single" w:sz="4" w:space="0" w:color="auto"/>
            </w:tcBorders>
            <w:shd w:val="clear" w:color="auto" w:fill="BFBFBF"/>
          </w:tcPr>
          <w:p w14:paraId="4E34E9C4"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Valeurs cibles</w:t>
            </w:r>
          </w:p>
          <w:p w14:paraId="5EF8D247" w14:textId="77777777" w:rsidR="005B22BD" w:rsidRPr="005B22BD" w:rsidRDefault="005B22BD" w:rsidP="005B22BD">
            <w:pPr>
              <w:widowControl/>
              <w:autoSpaceDE/>
              <w:autoSpaceDN/>
              <w:jc w:val="both"/>
              <w:rPr>
                <w:rFonts w:eastAsia="Calibri"/>
                <w:b/>
                <w:color w:val="0D0D0D"/>
                <w:sz w:val="20"/>
                <w:lang w:val="fr-BE"/>
              </w:rPr>
            </w:pPr>
            <w:r w:rsidRPr="005B22BD">
              <w:rPr>
                <w:rFonts w:eastAsia="Calibri"/>
                <w:b/>
                <w:color w:val="0D0D0D"/>
                <w:sz w:val="20"/>
                <w:lang w:val="fr-BE"/>
              </w:rPr>
              <w:t>(valeurs et années)</w:t>
            </w:r>
          </w:p>
        </w:tc>
        <w:tc>
          <w:tcPr>
            <w:tcW w:w="610" w:type="pct"/>
            <w:tcBorders>
              <w:bottom w:val="single" w:sz="4" w:space="0" w:color="auto"/>
            </w:tcBorders>
            <w:shd w:val="clear" w:color="auto" w:fill="BFBFBF"/>
          </w:tcPr>
          <w:p w14:paraId="0AA7D1FA" w14:textId="77777777" w:rsidR="005B22BD" w:rsidRPr="005B22BD" w:rsidRDefault="005B22BD" w:rsidP="005B22BD">
            <w:pPr>
              <w:widowControl/>
              <w:autoSpaceDE/>
              <w:autoSpaceDN/>
              <w:jc w:val="both"/>
              <w:rPr>
                <w:rFonts w:eastAsia="Calibri"/>
                <w:b/>
                <w:color w:val="0D0D0D"/>
                <w:sz w:val="20"/>
                <w:lang w:val="en-GB"/>
              </w:rPr>
            </w:pPr>
            <w:r w:rsidRPr="005B22BD">
              <w:rPr>
                <w:rFonts w:eastAsia="Calibri"/>
                <w:b/>
                <w:color w:val="0D0D0D"/>
                <w:sz w:val="20"/>
                <w:lang w:val="en-GB"/>
              </w:rPr>
              <w:t xml:space="preserve">Sources de </w:t>
            </w:r>
            <w:proofErr w:type="spellStart"/>
            <w:r w:rsidRPr="005B22BD">
              <w:rPr>
                <w:rFonts w:eastAsia="Calibri"/>
                <w:b/>
                <w:color w:val="0D0D0D"/>
                <w:sz w:val="20"/>
                <w:lang w:val="en-GB"/>
              </w:rPr>
              <w:t>données</w:t>
            </w:r>
            <w:proofErr w:type="spellEnd"/>
          </w:p>
        </w:tc>
        <w:tc>
          <w:tcPr>
            <w:tcW w:w="582" w:type="pct"/>
            <w:tcBorders>
              <w:bottom w:val="single" w:sz="4" w:space="0" w:color="auto"/>
            </w:tcBorders>
            <w:shd w:val="clear" w:color="auto" w:fill="BFBFBF"/>
          </w:tcPr>
          <w:p w14:paraId="632F11AD" w14:textId="77777777" w:rsidR="005B22BD" w:rsidRPr="005B22BD" w:rsidRDefault="005B22BD" w:rsidP="005B22BD">
            <w:pPr>
              <w:widowControl/>
              <w:autoSpaceDE/>
              <w:autoSpaceDN/>
              <w:jc w:val="both"/>
              <w:rPr>
                <w:rFonts w:eastAsia="Calibri"/>
                <w:b/>
                <w:color w:val="0D0D0D"/>
                <w:sz w:val="20"/>
                <w:lang w:val="en-GB"/>
              </w:rPr>
            </w:pPr>
            <w:proofErr w:type="spellStart"/>
            <w:r w:rsidRPr="005B22BD">
              <w:rPr>
                <w:rFonts w:eastAsia="Calibri"/>
                <w:b/>
                <w:color w:val="0D0D0D"/>
                <w:sz w:val="20"/>
                <w:lang w:val="en-GB"/>
              </w:rPr>
              <w:t>Hypothèses</w:t>
            </w:r>
            <w:proofErr w:type="spellEnd"/>
          </w:p>
        </w:tc>
      </w:tr>
      <w:tr w:rsidR="005B22BD" w:rsidRPr="005B22BD" w14:paraId="524D4EA3" w14:textId="77777777" w:rsidTr="005B22BD">
        <w:trPr>
          <w:trHeight w:val="679"/>
          <w:tblHeader/>
        </w:trPr>
        <w:tc>
          <w:tcPr>
            <w:tcW w:w="711" w:type="pct"/>
            <w:shd w:val="clear" w:color="auto" w:fill="D9D9D9"/>
            <w:vAlign w:val="center"/>
          </w:tcPr>
          <w:p w14:paraId="0913EDC0" w14:textId="77777777" w:rsidR="005B22BD" w:rsidRPr="005B22BD" w:rsidRDefault="005B22BD" w:rsidP="005B22BD">
            <w:pPr>
              <w:widowControl/>
              <w:tabs>
                <w:tab w:val="left" w:pos="0"/>
                <w:tab w:val="left" w:pos="132"/>
              </w:tabs>
              <w:autoSpaceDE/>
              <w:autoSpaceDN/>
              <w:spacing w:after="100" w:afterAutospacing="1"/>
              <w:ind w:right="113"/>
              <w:jc w:val="both"/>
              <w:rPr>
                <w:rFonts w:eastAsia="Calibri"/>
                <w:b/>
                <w:color w:val="0D0D0D"/>
                <w:sz w:val="20"/>
                <w:lang w:val="en-GB"/>
              </w:rPr>
            </w:pPr>
            <w:r w:rsidRPr="005B22BD">
              <w:rPr>
                <w:rFonts w:eastAsia="Calibri"/>
                <w:b/>
                <w:color w:val="0D0D0D"/>
                <w:sz w:val="20"/>
                <w:lang w:val="en-GB"/>
              </w:rPr>
              <w:t>Impact</w:t>
            </w:r>
          </w:p>
        </w:tc>
        <w:tc>
          <w:tcPr>
            <w:tcW w:w="1051" w:type="pct"/>
            <w:shd w:val="clear" w:color="auto" w:fill="auto"/>
            <w:vAlign w:val="center"/>
          </w:tcPr>
          <w:p w14:paraId="5C9490E0"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Renforcer la gouvernance démocratique et l’état de droit pour des élections crédibles et apaisées </w:t>
            </w:r>
          </w:p>
        </w:tc>
        <w:tc>
          <w:tcPr>
            <w:tcW w:w="1066" w:type="pct"/>
            <w:shd w:val="clear" w:color="auto" w:fill="auto"/>
            <w:vAlign w:val="center"/>
          </w:tcPr>
          <w:p w14:paraId="4A86CF12"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 Indice Ibrahim pour la gouvernance en Afrique</w:t>
            </w:r>
          </w:p>
          <w:p w14:paraId="30C2BC62"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 Score selon l’index</w:t>
            </w:r>
            <w:proofErr w:type="gramStart"/>
            <w:r w:rsidRPr="005B22BD">
              <w:rPr>
                <w:rFonts w:eastAsia="Calibri"/>
                <w:color w:val="0D0D0D"/>
                <w:sz w:val="20"/>
                <w:lang w:val="fr-BE"/>
              </w:rPr>
              <w:t xml:space="preserve"> «Démocratie</w:t>
            </w:r>
            <w:proofErr w:type="gramEnd"/>
            <w:r w:rsidRPr="005B22BD">
              <w:rPr>
                <w:rFonts w:eastAsia="Calibri"/>
                <w:color w:val="0D0D0D"/>
                <w:sz w:val="20"/>
                <w:lang w:val="fr-BE"/>
              </w:rPr>
              <w:t xml:space="preserve"> électorale» développé par V-</w:t>
            </w:r>
            <w:proofErr w:type="spellStart"/>
            <w:r w:rsidRPr="005B22BD">
              <w:rPr>
                <w:rFonts w:eastAsia="Calibri"/>
                <w:color w:val="0D0D0D"/>
                <w:sz w:val="20"/>
                <w:lang w:val="fr-BE"/>
              </w:rPr>
              <w:t>Dem</w:t>
            </w:r>
            <w:proofErr w:type="spellEnd"/>
            <w:r w:rsidRPr="005B22BD">
              <w:rPr>
                <w:rFonts w:eastAsia="Calibri"/>
                <w:color w:val="0D0D0D"/>
                <w:sz w:val="20"/>
                <w:lang w:val="fr-BE"/>
              </w:rPr>
              <w:t>.</w:t>
            </w:r>
          </w:p>
          <w:p w14:paraId="39C1C315"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3. </w:t>
            </w:r>
            <w:r w:rsidRPr="005B22BD">
              <w:rPr>
                <w:rFonts w:eastAsia="Calibri"/>
                <w:lang w:val="fr-BE"/>
              </w:rPr>
              <w:t xml:space="preserve"> </w:t>
            </w:r>
            <w:r w:rsidRPr="005B22BD">
              <w:rPr>
                <w:rFonts w:eastAsia="Calibri"/>
                <w:color w:val="0D0D0D"/>
                <w:sz w:val="20"/>
                <w:lang w:val="fr-BE"/>
              </w:rPr>
              <w:t xml:space="preserve">Taux de participation lors des élections (ventilé par sexe, âge </w:t>
            </w:r>
            <w:proofErr w:type="spellStart"/>
            <w:r w:rsidRPr="005B22BD">
              <w:rPr>
                <w:rFonts w:eastAsia="Calibri"/>
                <w:color w:val="0D0D0D"/>
                <w:sz w:val="20"/>
                <w:lang w:val="fr-BE"/>
              </w:rPr>
              <w:t>générationel</w:t>
            </w:r>
            <w:proofErr w:type="spellEnd"/>
            <w:r w:rsidRPr="005B22BD">
              <w:rPr>
                <w:rFonts w:eastAsia="Calibri"/>
                <w:color w:val="0D0D0D"/>
                <w:sz w:val="20"/>
                <w:lang w:val="fr-BE"/>
              </w:rPr>
              <w:t>, type de handicap)</w:t>
            </w:r>
          </w:p>
          <w:p w14:paraId="5965E16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 Classement Reporters sans Frontières </w:t>
            </w:r>
          </w:p>
        </w:tc>
        <w:tc>
          <w:tcPr>
            <w:tcW w:w="453" w:type="pct"/>
            <w:vAlign w:val="center"/>
          </w:tcPr>
          <w:p w14:paraId="34853863"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1   40.4/100 (2021)</w:t>
            </w:r>
          </w:p>
          <w:p w14:paraId="75D0ED20" w14:textId="77777777" w:rsidR="005B22BD" w:rsidRPr="005B22BD" w:rsidRDefault="005B22BD" w:rsidP="005B22BD">
            <w:pPr>
              <w:widowControl/>
              <w:numPr>
                <w:ilvl w:val="0"/>
                <w:numId w:val="23"/>
              </w:numPr>
              <w:autoSpaceDE/>
              <w:autoSpaceDN/>
              <w:adjustRightInd w:val="0"/>
              <w:spacing w:after="100" w:afterAutospacing="1" w:line="259" w:lineRule="auto"/>
              <w:contextualSpacing/>
              <w:jc w:val="both"/>
              <w:rPr>
                <w:rFonts w:eastAsia="Calibri"/>
                <w:color w:val="0D0D0D"/>
                <w:sz w:val="20"/>
                <w:lang w:val="fr-BE"/>
              </w:rPr>
            </w:pPr>
            <w:r w:rsidRPr="005B22BD">
              <w:rPr>
                <w:rFonts w:eastAsia="Calibri"/>
                <w:color w:val="0D0D0D"/>
                <w:sz w:val="20"/>
                <w:lang w:val="fr-BE"/>
              </w:rPr>
              <w:t>0.17 (2020)</w:t>
            </w:r>
          </w:p>
          <w:p w14:paraId="6B25E98C" w14:textId="77777777" w:rsidR="005B22BD" w:rsidRPr="005B22BD" w:rsidRDefault="005B22BD" w:rsidP="005B22BD">
            <w:pPr>
              <w:widowControl/>
              <w:adjustRightInd w:val="0"/>
              <w:spacing w:after="100" w:afterAutospacing="1"/>
              <w:ind w:left="440"/>
              <w:contextualSpacing/>
              <w:jc w:val="both"/>
              <w:rPr>
                <w:rFonts w:eastAsia="Calibri"/>
                <w:color w:val="0D0D0D"/>
                <w:sz w:val="20"/>
                <w:lang w:val="fr-BE"/>
              </w:rPr>
            </w:pPr>
          </w:p>
          <w:p w14:paraId="287D82B1" w14:textId="77777777" w:rsidR="005B22BD" w:rsidRPr="005B22BD" w:rsidRDefault="005B22BD" w:rsidP="005B22BD">
            <w:pPr>
              <w:widowControl/>
              <w:numPr>
                <w:ilvl w:val="0"/>
                <w:numId w:val="23"/>
              </w:numPr>
              <w:autoSpaceDE/>
              <w:autoSpaceDN/>
              <w:adjustRightInd w:val="0"/>
              <w:spacing w:after="100" w:afterAutospacing="1" w:line="259" w:lineRule="auto"/>
              <w:contextualSpacing/>
              <w:jc w:val="both"/>
              <w:rPr>
                <w:rFonts w:eastAsia="Calibri"/>
                <w:color w:val="0D0D0D"/>
                <w:sz w:val="20"/>
                <w:lang w:val="fr-BE"/>
              </w:rPr>
            </w:pPr>
            <w:r w:rsidRPr="005B22BD">
              <w:rPr>
                <w:rFonts w:eastAsia="Calibri"/>
                <w:color w:val="0D0D0D"/>
                <w:sz w:val="20"/>
                <w:lang w:val="fr-BE"/>
              </w:rPr>
              <w:t xml:space="preserve">87,71 % </w:t>
            </w:r>
            <w:proofErr w:type="gramStart"/>
            <w:r w:rsidRPr="005B22BD">
              <w:rPr>
                <w:rFonts w:eastAsia="Calibri"/>
                <w:color w:val="0D0D0D"/>
                <w:sz w:val="20"/>
                <w:lang w:val="fr-BE"/>
              </w:rPr>
              <w:t xml:space="preserve">soit </w:t>
            </w:r>
            <w:r w:rsidRPr="005B22BD">
              <w:rPr>
                <w:rFonts w:eastAsia="Calibri"/>
                <w:lang w:val="fr-BE"/>
              </w:rPr>
              <w:t xml:space="preserve"> </w:t>
            </w:r>
            <w:r w:rsidRPr="005B22BD">
              <w:rPr>
                <w:rFonts w:eastAsia="Calibri"/>
                <w:color w:val="0D0D0D"/>
                <w:sz w:val="20"/>
                <w:lang w:val="fr-BE"/>
              </w:rPr>
              <w:t>4.484.928</w:t>
            </w:r>
            <w:proofErr w:type="gramEnd"/>
            <w:r w:rsidRPr="005B22BD">
              <w:rPr>
                <w:rFonts w:eastAsia="Calibri"/>
                <w:color w:val="0D0D0D"/>
                <w:sz w:val="20"/>
                <w:lang w:val="fr-BE"/>
              </w:rPr>
              <w:t xml:space="preserve"> votants</w:t>
            </w:r>
          </w:p>
          <w:p w14:paraId="720B8A41" w14:textId="77777777" w:rsidR="005B22BD" w:rsidRPr="005B22BD" w:rsidRDefault="005B22BD" w:rsidP="005B22BD">
            <w:pPr>
              <w:widowControl/>
              <w:adjustRightInd w:val="0"/>
              <w:spacing w:after="100" w:afterAutospacing="1"/>
              <w:ind w:left="440"/>
              <w:contextualSpacing/>
              <w:jc w:val="both"/>
              <w:rPr>
                <w:rFonts w:eastAsia="Calibri"/>
                <w:color w:val="0D0D0D"/>
                <w:sz w:val="20"/>
                <w:lang w:val="fr-BE"/>
              </w:rPr>
            </w:pPr>
            <w:r w:rsidRPr="005B22BD">
              <w:rPr>
                <w:rFonts w:eastAsia="Calibri"/>
                <w:color w:val="0D0D0D"/>
                <w:sz w:val="20"/>
                <w:lang w:val="fr-BE"/>
              </w:rPr>
              <w:t>(2020)</w:t>
            </w:r>
          </w:p>
          <w:p w14:paraId="3FC3C42B" w14:textId="77777777" w:rsidR="005B22BD" w:rsidRPr="005B22BD" w:rsidRDefault="005B22BD" w:rsidP="005B22BD">
            <w:pPr>
              <w:widowControl/>
              <w:adjustRightInd w:val="0"/>
              <w:spacing w:after="100" w:afterAutospacing="1" w:line="259" w:lineRule="auto"/>
              <w:rPr>
                <w:rFonts w:eastAsia="Calibri"/>
                <w:color w:val="0D0D0D"/>
                <w:sz w:val="20"/>
                <w:lang w:val="fr-BE"/>
              </w:rPr>
            </w:pPr>
            <w:r w:rsidRPr="005B22BD">
              <w:rPr>
                <w:rFonts w:eastAsia="Calibri"/>
                <w:color w:val="0D0D0D"/>
                <w:sz w:val="20"/>
                <w:lang w:val="fr-BE"/>
              </w:rPr>
              <w:t>4     107/</w:t>
            </w:r>
            <w:proofErr w:type="gramStart"/>
            <w:r w:rsidRPr="005B22BD">
              <w:rPr>
                <w:rFonts w:eastAsia="Calibri"/>
                <w:color w:val="0D0D0D"/>
                <w:sz w:val="20"/>
                <w:lang w:val="fr-BE"/>
              </w:rPr>
              <w:t>220  (</w:t>
            </w:r>
            <w:proofErr w:type="gramEnd"/>
            <w:r w:rsidRPr="005B22BD">
              <w:rPr>
                <w:rFonts w:eastAsia="Calibri"/>
                <w:color w:val="0D0D0D"/>
                <w:sz w:val="20"/>
                <w:lang w:val="fr-BE"/>
              </w:rPr>
              <w:t>2022)</w:t>
            </w:r>
          </w:p>
          <w:p w14:paraId="54497678" w14:textId="77777777" w:rsidR="005B22BD" w:rsidRPr="005B22BD" w:rsidRDefault="005B22BD" w:rsidP="005B22BD">
            <w:pPr>
              <w:widowControl/>
              <w:adjustRightInd w:val="0"/>
              <w:spacing w:after="100" w:afterAutospacing="1" w:line="259" w:lineRule="auto"/>
              <w:rPr>
                <w:rFonts w:eastAsia="Calibri"/>
                <w:color w:val="0D0D0D"/>
                <w:sz w:val="20"/>
                <w:lang w:val="fr-BE"/>
              </w:rPr>
            </w:pPr>
          </w:p>
        </w:tc>
        <w:tc>
          <w:tcPr>
            <w:tcW w:w="526" w:type="pct"/>
            <w:vAlign w:val="center"/>
          </w:tcPr>
          <w:p w14:paraId="2152B30F"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 xml:space="preserve">1 </w:t>
            </w:r>
            <w:r w:rsidRPr="005B22BD">
              <w:rPr>
                <w:rFonts w:eastAsia="Calibri"/>
                <w:lang w:val="fr-BE"/>
              </w:rPr>
              <w:t xml:space="preserve">    </w:t>
            </w:r>
            <w:r w:rsidRPr="005B22BD">
              <w:rPr>
                <w:rFonts w:eastAsia="Calibri"/>
                <w:color w:val="0D0D0D"/>
                <w:sz w:val="20"/>
                <w:lang w:val="fr-BE"/>
              </w:rPr>
              <w:t>À définir (2027)</w:t>
            </w:r>
          </w:p>
          <w:p w14:paraId="7CAC1BA4" w14:textId="77777777" w:rsidR="005B22BD" w:rsidRPr="005B22BD" w:rsidRDefault="005B22BD" w:rsidP="005B22BD">
            <w:pPr>
              <w:widowControl/>
              <w:numPr>
                <w:ilvl w:val="0"/>
                <w:numId w:val="4"/>
              </w:numPr>
              <w:autoSpaceDE/>
              <w:autoSpaceDN/>
              <w:adjustRightInd w:val="0"/>
              <w:spacing w:after="100" w:afterAutospacing="1" w:line="259" w:lineRule="auto"/>
              <w:contextualSpacing/>
              <w:jc w:val="both"/>
              <w:rPr>
                <w:rFonts w:eastAsia="Calibri"/>
                <w:color w:val="0D0D0D"/>
                <w:sz w:val="20"/>
                <w:lang w:val="fr-BE"/>
              </w:rPr>
            </w:pPr>
            <w:r w:rsidRPr="005B22BD">
              <w:rPr>
                <w:rFonts w:eastAsia="Calibri"/>
                <w:color w:val="0D0D0D"/>
                <w:sz w:val="20"/>
                <w:lang w:val="fr-BE"/>
              </w:rPr>
              <w:t>0.3 (2027)</w:t>
            </w:r>
          </w:p>
          <w:p w14:paraId="71AD5092" w14:textId="77777777" w:rsidR="005B22BD" w:rsidRPr="005B22BD" w:rsidRDefault="005B22BD" w:rsidP="005B22BD">
            <w:pPr>
              <w:widowControl/>
              <w:adjustRightInd w:val="0"/>
              <w:spacing w:after="100" w:afterAutospacing="1"/>
              <w:ind w:left="360"/>
              <w:contextualSpacing/>
              <w:jc w:val="both"/>
              <w:rPr>
                <w:rFonts w:eastAsia="Calibri"/>
                <w:color w:val="0D0D0D"/>
                <w:sz w:val="20"/>
                <w:lang w:val="fr-BE"/>
              </w:rPr>
            </w:pPr>
          </w:p>
          <w:p w14:paraId="20F8E3C2" w14:textId="77777777" w:rsidR="005B22BD" w:rsidRPr="005B22BD" w:rsidRDefault="005B22BD" w:rsidP="005B22BD">
            <w:pPr>
              <w:widowControl/>
              <w:numPr>
                <w:ilvl w:val="0"/>
                <w:numId w:val="4"/>
              </w:numPr>
              <w:autoSpaceDE/>
              <w:autoSpaceDN/>
              <w:adjustRightInd w:val="0"/>
              <w:spacing w:after="100" w:afterAutospacing="1" w:line="259" w:lineRule="auto"/>
              <w:contextualSpacing/>
              <w:jc w:val="both"/>
              <w:rPr>
                <w:rFonts w:eastAsia="Calibri"/>
                <w:color w:val="0D0D0D"/>
                <w:sz w:val="20"/>
                <w:lang w:val="fr-BE"/>
              </w:rPr>
            </w:pPr>
            <w:r w:rsidRPr="005B22BD">
              <w:rPr>
                <w:rFonts w:eastAsia="Calibri"/>
                <w:color w:val="0D0D0D"/>
                <w:sz w:val="20"/>
                <w:lang w:val="fr-BE"/>
              </w:rPr>
              <w:t>Amélioration (2025)</w:t>
            </w:r>
          </w:p>
          <w:p w14:paraId="0746408D" w14:textId="77777777" w:rsidR="005B22BD" w:rsidRPr="005B22BD" w:rsidRDefault="005B22BD" w:rsidP="005B22BD">
            <w:pPr>
              <w:widowControl/>
              <w:autoSpaceDE/>
              <w:autoSpaceDN/>
              <w:ind w:left="720"/>
              <w:contextualSpacing/>
              <w:jc w:val="both"/>
              <w:rPr>
                <w:rFonts w:eastAsia="Calibri"/>
                <w:color w:val="0D0D0D"/>
                <w:sz w:val="20"/>
                <w:lang w:val="fr-BE"/>
              </w:rPr>
            </w:pPr>
          </w:p>
          <w:p w14:paraId="2D27281B" w14:textId="77777777" w:rsidR="005B22BD" w:rsidRPr="005B22BD" w:rsidRDefault="005B22BD" w:rsidP="005B22BD">
            <w:pPr>
              <w:widowControl/>
              <w:autoSpaceDE/>
              <w:autoSpaceDN/>
              <w:ind w:left="720"/>
              <w:contextualSpacing/>
              <w:jc w:val="both"/>
              <w:rPr>
                <w:rFonts w:eastAsia="Calibri"/>
                <w:color w:val="0D0D0D"/>
                <w:sz w:val="20"/>
                <w:lang w:val="fr-BE"/>
              </w:rPr>
            </w:pPr>
          </w:p>
          <w:p w14:paraId="523A6734" w14:textId="77777777" w:rsidR="005B22BD" w:rsidRPr="005B22BD" w:rsidRDefault="005B22BD" w:rsidP="005B22BD">
            <w:pPr>
              <w:widowControl/>
              <w:numPr>
                <w:ilvl w:val="0"/>
                <w:numId w:val="4"/>
              </w:numPr>
              <w:autoSpaceDE/>
              <w:autoSpaceDN/>
              <w:adjustRightInd w:val="0"/>
              <w:spacing w:after="160" w:line="259" w:lineRule="auto"/>
              <w:contextualSpacing/>
              <w:jc w:val="both"/>
              <w:rPr>
                <w:rFonts w:eastAsia="Calibri"/>
                <w:color w:val="0D0D0D"/>
                <w:sz w:val="20"/>
                <w:lang w:val="fr-BE"/>
              </w:rPr>
            </w:pPr>
            <w:r w:rsidRPr="005B22BD">
              <w:rPr>
                <w:rFonts w:eastAsia="Calibri"/>
                <w:color w:val="0D0D0D"/>
                <w:sz w:val="20"/>
                <w:lang w:val="fr-BE"/>
              </w:rPr>
              <w:t>Amélioration</w:t>
            </w:r>
          </w:p>
          <w:p w14:paraId="2596161A" w14:textId="77777777" w:rsidR="005B22BD" w:rsidRPr="005B22BD" w:rsidRDefault="005B22BD" w:rsidP="005B22BD">
            <w:pPr>
              <w:widowControl/>
              <w:adjustRightInd w:val="0"/>
              <w:spacing w:line="259" w:lineRule="auto"/>
              <w:rPr>
                <w:rFonts w:eastAsia="Calibri"/>
                <w:color w:val="0D0D0D"/>
                <w:sz w:val="20"/>
                <w:lang w:val="fr-BE"/>
              </w:rPr>
            </w:pPr>
            <w:r w:rsidRPr="005B22BD">
              <w:rPr>
                <w:rFonts w:eastAsia="Calibri"/>
                <w:color w:val="0D0D0D"/>
                <w:sz w:val="20"/>
                <w:lang w:val="fr-BE"/>
              </w:rPr>
              <w:t>(2025)</w:t>
            </w:r>
          </w:p>
        </w:tc>
        <w:tc>
          <w:tcPr>
            <w:tcW w:w="610" w:type="pct"/>
            <w:shd w:val="clear" w:color="auto" w:fill="auto"/>
            <w:vAlign w:val="center"/>
          </w:tcPr>
          <w:p w14:paraId="09DA9F9E"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 Rapport Fondation Mo Ibrahim</w:t>
            </w:r>
          </w:p>
          <w:p w14:paraId="232A1E6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 2. Site V-</w:t>
            </w:r>
            <w:proofErr w:type="spellStart"/>
            <w:r w:rsidRPr="005B22BD">
              <w:rPr>
                <w:rFonts w:eastAsia="Calibri"/>
                <w:color w:val="0D0D0D"/>
                <w:sz w:val="20"/>
                <w:lang w:val="fr-BE"/>
              </w:rPr>
              <w:t>Dem</w:t>
            </w:r>
            <w:proofErr w:type="spellEnd"/>
            <w:r w:rsidRPr="005B22BD">
              <w:rPr>
                <w:rFonts w:eastAsia="Calibri"/>
                <w:color w:val="0D0D0D"/>
                <w:sz w:val="20"/>
                <w:lang w:val="fr-BE"/>
              </w:rPr>
              <w:t>. Rapports/évaluations des organisations internationales et régionales.</w:t>
            </w:r>
          </w:p>
          <w:p w14:paraId="21DD437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3. Rapports de la CENI et de l’observation citoyenne.</w:t>
            </w:r>
          </w:p>
          <w:p w14:paraId="4072E5BB"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4. Rapport de Reporters sans Frontières</w:t>
            </w:r>
          </w:p>
        </w:tc>
        <w:tc>
          <w:tcPr>
            <w:tcW w:w="582" w:type="pct"/>
            <w:shd w:val="clear" w:color="auto" w:fill="7F7F7F"/>
            <w:vAlign w:val="center"/>
          </w:tcPr>
          <w:p w14:paraId="12E4102D" w14:textId="77777777" w:rsidR="005B22BD" w:rsidRPr="005B22BD" w:rsidRDefault="005B22BD" w:rsidP="005B22BD">
            <w:pPr>
              <w:widowControl/>
              <w:autoSpaceDE/>
              <w:autoSpaceDN/>
              <w:spacing w:after="100" w:afterAutospacing="1"/>
              <w:jc w:val="both"/>
              <w:rPr>
                <w:rFonts w:eastAsia="Calibri"/>
                <w:i/>
                <w:color w:val="0D0D0D"/>
                <w:sz w:val="20"/>
                <w:szCs w:val="20"/>
                <w:highlight w:val="yellow"/>
                <w:lang w:val="fr-BE"/>
              </w:rPr>
            </w:pPr>
            <w:r w:rsidRPr="005B22BD">
              <w:rPr>
                <w:rFonts w:eastAsia="Calibri"/>
                <w:i/>
                <w:color w:val="0D0D0D"/>
                <w:sz w:val="20"/>
                <w:szCs w:val="20"/>
                <w:lang w:val="fr-BE"/>
              </w:rPr>
              <w:t>Non applicable</w:t>
            </w:r>
          </w:p>
        </w:tc>
      </w:tr>
      <w:tr w:rsidR="005B22BD" w:rsidRPr="005B22BD" w14:paraId="05B62F3F" w14:textId="77777777" w:rsidTr="005B22BD">
        <w:trPr>
          <w:trHeight w:val="496"/>
          <w:tblHeader/>
        </w:trPr>
        <w:tc>
          <w:tcPr>
            <w:tcW w:w="711" w:type="pct"/>
            <w:tcBorders>
              <w:bottom w:val="single" w:sz="4" w:space="0" w:color="auto"/>
            </w:tcBorders>
            <w:shd w:val="clear" w:color="auto" w:fill="D9D9D9"/>
            <w:vAlign w:val="center"/>
          </w:tcPr>
          <w:p w14:paraId="7ACE9735" w14:textId="77777777" w:rsidR="005B22BD" w:rsidRPr="005B22BD" w:rsidRDefault="005B22BD" w:rsidP="005B22BD">
            <w:pPr>
              <w:widowControl/>
              <w:tabs>
                <w:tab w:val="left" w:pos="12"/>
              </w:tabs>
              <w:autoSpaceDE/>
              <w:autoSpaceDN/>
              <w:spacing w:after="100" w:afterAutospacing="1"/>
              <w:ind w:left="12"/>
              <w:jc w:val="both"/>
              <w:rPr>
                <w:rFonts w:eastAsia="Calibri"/>
                <w:b/>
                <w:color w:val="0D0D0D"/>
                <w:sz w:val="20"/>
                <w:lang w:val="fr-BE"/>
              </w:rPr>
            </w:pPr>
            <w:r w:rsidRPr="005B22BD">
              <w:rPr>
                <w:rFonts w:eastAsia="Calibri"/>
                <w:b/>
                <w:color w:val="0D0D0D"/>
                <w:sz w:val="20"/>
                <w:lang w:val="fr-BE"/>
              </w:rPr>
              <w:t>Effet direct 1</w:t>
            </w:r>
          </w:p>
        </w:tc>
        <w:tc>
          <w:tcPr>
            <w:tcW w:w="1051" w:type="pct"/>
            <w:tcBorders>
              <w:bottom w:val="single" w:sz="4" w:space="0" w:color="auto"/>
            </w:tcBorders>
            <w:shd w:val="clear" w:color="auto" w:fill="auto"/>
            <w:vAlign w:val="center"/>
          </w:tcPr>
          <w:p w14:paraId="628BBDD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 Accroitre la participation citoyenne, en particulier  des femmes et des jeunes,  dans le suivi du processus électoral de 2025, et aux processus démocratiques et politiques.</w:t>
            </w:r>
          </w:p>
        </w:tc>
        <w:tc>
          <w:tcPr>
            <w:tcW w:w="1066" w:type="pct"/>
            <w:tcBorders>
              <w:bottom w:val="single" w:sz="4" w:space="0" w:color="auto"/>
            </w:tcBorders>
            <w:shd w:val="clear" w:color="auto" w:fill="auto"/>
            <w:vAlign w:val="center"/>
          </w:tcPr>
          <w:p w14:paraId="25FEEF65" w14:textId="77777777" w:rsidR="005B22BD" w:rsidRPr="005B22BD" w:rsidRDefault="005B22BD" w:rsidP="005B22BD">
            <w:pPr>
              <w:widowControl/>
              <w:adjustRightInd w:val="0"/>
              <w:spacing w:after="100" w:afterAutospacing="1"/>
              <w:jc w:val="both"/>
              <w:rPr>
                <w:rFonts w:eastAsia="Calibri"/>
                <w:color w:val="0D0D0D"/>
                <w:sz w:val="20"/>
                <w:lang w:val="fr-BE"/>
              </w:rPr>
            </w:pPr>
            <w:proofErr w:type="gramStart"/>
            <w:r w:rsidRPr="005B22BD">
              <w:rPr>
                <w:rFonts w:eastAsia="Calibri"/>
                <w:color w:val="0D0D0D"/>
                <w:sz w:val="20"/>
                <w:lang w:val="fr-BE"/>
              </w:rPr>
              <w:t>1.1</w:t>
            </w:r>
            <w:r w:rsidRPr="005B22BD">
              <w:rPr>
                <w:rFonts w:eastAsia="Calibri"/>
                <w:lang w:val="fr-BE"/>
              </w:rPr>
              <w:t xml:space="preserve"> </w:t>
            </w:r>
            <w:r w:rsidRPr="005B22BD">
              <w:rPr>
                <w:rFonts w:eastAsia="Calibri"/>
                <w:color w:val="0D0D0D"/>
                <w:sz w:val="20"/>
                <w:lang w:val="fr-BE"/>
              </w:rPr>
              <w:t xml:space="preserve"> Nombre</w:t>
            </w:r>
            <w:proofErr w:type="gramEnd"/>
            <w:r w:rsidRPr="005B22BD">
              <w:rPr>
                <w:rFonts w:eastAsia="Calibri"/>
                <w:color w:val="0D0D0D"/>
                <w:sz w:val="20"/>
                <w:lang w:val="fr-BE"/>
              </w:rPr>
              <w:t xml:space="preserve"> d’</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appuyées par l’action afin de renforcer leur rôle dans l’appui à la participation des citoyens en matière d’éducation civique et électorale. </w:t>
            </w:r>
          </w:p>
          <w:p w14:paraId="4032CD0F"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1.2 Taux de participation lors des élections de 2025 (H/F, par catégories d’âge), ainsi que des personnes vivant avec un handicap et des déplacés internes (IDP) et retournés</w:t>
            </w:r>
          </w:p>
          <w:p w14:paraId="77F18A5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 1.3 Nombre de jeunes (désagrégation) ayant participé à une activité de sensibilisation grâce au soutien de l’UE (H/F/-35 ans)</w:t>
            </w:r>
          </w:p>
          <w:p w14:paraId="08554044"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1.4 Nombre de femmes candidates et de jeunes candidats aux élections (par type de scrutin)</w:t>
            </w:r>
          </w:p>
          <w:p w14:paraId="498F3291"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1.5 L’observation électorale citoyenne de  2025 est crédible, impartiale et de qualité</w:t>
            </w:r>
          </w:p>
        </w:tc>
        <w:tc>
          <w:tcPr>
            <w:tcW w:w="453" w:type="pct"/>
            <w:tcBorders>
              <w:bottom w:val="single" w:sz="4" w:space="0" w:color="auto"/>
            </w:tcBorders>
            <w:vAlign w:val="center"/>
          </w:tcPr>
          <w:p w14:paraId="1593B18E"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5E0F55FF"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1.1 0 (2022)</w:t>
            </w:r>
          </w:p>
          <w:p w14:paraId="0D63076F"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2B20E11A"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1.2 87,71%</w:t>
            </w:r>
          </w:p>
          <w:p w14:paraId="276869A1"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6BA90E64"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1.3 0 (2022)</w:t>
            </w:r>
          </w:p>
          <w:p w14:paraId="4F9A086A"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6341AE89" w14:textId="10E015C5" w:rsidR="005B22BD" w:rsidRPr="005B22BD" w:rsidRDefault="005B22BD" w:rsidP="005B22BD">
            <w:pPr>
              <w:widowControl/>
              <w:autoSpaceDE/>
              <w:autoSpaceDN/>
              <w:spacing w:after="100" w:afterAutospacing="1"/>
              <w:contextualSpacing/>
              <w:jc w:val="both"/>
              <w:rPr>
                <w:rFonts w:eastAsia="Calibri"/>
                <w:color w:val="0D0D0D"/>
                <w:sz w:val="20"/>
                <w:lang w:val="fr-BE"/>
              </w:rPr>
            </w:pPr>
            <w:proofErr w:type="gramStart"/>
            <w:r w:rsidRPr="005B22BD">
              <w:rPr>
                <w:rFonts w:eastAsia="Calibri"/>
                <w:color w:val="0D0D0D"/>
                <w:sz w:val="20"/>
                <w:lang w:val="fr-BE"/>
              </w:rPr>
              <w:t>1.4  Pas</w:t>
            </w:r>
            <w:proofErr w:type="gramEnd"/>
            <w:r w:rsidRPr="005B22BD">
              <w:rPr>
                <w:rFonts w:eastAsia="Calibri"/>
                <w:color w:val="0D0D0D"/>
                <w:sz w:val="20"/>
                <w:lang w:val="fr-BE"/>
              </w:rPr>
              <w:t xml:space="preserve"> disponible (2020)</w:t>
            </w:r>
          </w:p>
          <w:p w14:paraId="69D1AA6A"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2B838CE2"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70C094E9"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 xml:space="preserve">1.5 L’observation citoyenne des élections de 2020 n’a pas couvert toutes les provinces et n’a pas été de qualité. </w:t>
            </w:r>
          </w:p>
          <w:p w14:paraId="271DB48B"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39A402C0"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640A59D0" w14:textId="77777777" w:rsidR="005B22BD" w:rsidRPr="005B22BD" w:rsidRDefault="005B22BD" w:rsidP="005B22BD">
            <w:pPr>
              <w:widowControl/>
              <w:autoSpaceDE/>
              <w:autoSpaceDN/>
              <w:spacing w:after="100" w:afterAutospacing="1"/>
              <w:jc w:val="both"/>
              <w:rPr>
                <w:rFonts w:eastAsia="Calibri"/>
                <w:color w:val="0D0D0D"/>
                <w:sz w:val="20"/>
                <w:lang w:val="fr-BE"/>
              </w:rPr>
            </w:pPr>
          </w:p>
        </w:tc>
        <w:tc>
          <w:tcPr>
            <w:tcW w:w="526" w:type="pct"/>
            <w:tcBorders>
              <w:bottom w:val="single" w:sz="4" w:space="0" w:color="auto"/>
            </w:tcBorders>
            <w:vAlign w:val="center"/>
          </w:tcPr>
          <w:p w14:paraId="7C246723"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 xml:space="preserve">1.1 À définir </w:t>
            </w:r>
          </w:p>
          <w:p w14:paraId="1B959D1B"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55B8E428"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1.2 Amélioration</w:t>
            </w:r>
          </w:p>
          <w:p w14:paraId="3115BA15"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29909285"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1.3 À définir</w:t>
            </w:r>
          </w:p>
          <w:p w14:paraId="2A51B875"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 xml:space="preserve"> (2027)</w:t>
            </w:r>
          </w:p>
          <w:p w14:paraId="1C1E2690"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p w14:paraId="4BBA35C8"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r w:rsidRPr="005B22BD">
              <w:rPr>
                <w:rFonts w:eastAsia="Calibri"/>
                <w:color w:val="0D0D0D"/>
                <w:sz w:val="20"/>
                <w:lang w:val="fr-BE"/>
              </w:rPr>
              <w:t>1.4 À définir (2027)</w:t>
            </w:r>
          </w:p>
          <w:p w14:paraId="41AE20D5"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roofErr w:type="gramStart"/>
            <w:r w:rsidRPr="005B22BD">
              <w:rPr>
                <w:rFonts w:eastAsia="Calibri"/>
                <w:color w:val="0D0D0D"/>
                <w:sz w:val="20"/>
                <w:lang w:val="fr-BE"/>
              </w:rPr>
              <w:t xml:space="preserve">1.5 </w:t>
            </w:r>
            <w:r w:rsidRPr="005B22BD">
              <w:rPr>
                <w:rFonts w:eastAsia="Calibri"/>
                <w:lang w:val="fr-BE"/>
              </w:rPr>
              <w:t xml:space="preserve"> </w:t>
            </w:r>
            <w:r w:rsidRPr="005B22BD">
              <w:rPr>
                <w:rFonts w:eastAsia="Calibri"/>
                <w:color w:val="0D0D0D"/>
                <w:sz w:val="20"/>
                <w:lang w:val="fr-BE"/>
              </w:rPr>
              <w:t>Amélioration</w:t>
            </w:r>
            <w:proofErr w:type="gramEnd"/>
          </w:p>
          <w:p w14:paraId="502E69CA" w14:textId="77777777" w:rsidR="005B22BD" w:rsidRPr="005B22BD" w:rsidRDefault="005B22BD" w:rsidP="005B22BD">
            <w:pPr>
              <w:widowControl/>
              <w:autoSpaceDE/>
              <w:autoSpaceDN/>
              <w:spacing w:after="100" w:afterAutospacing="1"/>
              <w:contextualSpacing/>
              <w:jc w:val="both"/>
              <w:rPr>
                <w:rFonts w:eastAsia="Calibri"/>
                <w:color w:val="0D0D0D"/>
                <w:sz w:val="20"/>
                <w:lang w:val="fr-BE"/>
              </w:rPr>
            </w:pPr>
          </w:p>
        </w:tc>
        <w:tc>
          <w:tcPr>
            <w:tcW w:w="610" w:type="pct"/>
            <w:tcBorders>
              <w:bottom w:val="single" w:sz="4" w:space="0" w:color="auto"/>
            </w:tcBorders>
            <w:shd w:val="clear" w:color="auto" w:fill="auto"/>
            <w:vAlign w:val="center"/>
          </w:tcPr>
          <w:p w14:paraId="1F9D3F21"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1.1</w:t>
            </w:r>
            <w:r w:rsidRPr="005B22BD">
              <w:rPr>
                <w:rFonts w:eastAsia="Calibri"/>
                <w:lang w:val="fr-BE"/>
              </w:rPr>
              <w:t xml:space="preserve"> </w:t>
            </w:r>
            <w:r w:rsidRPr="005B22BD">
              <w:rPr>
                <w:rFonts w:eastAsia="Calibri"/>
                <w:color w:val="0D0D0D"/>
                <w:sz w:val="20"/>
                <w:lang w:val="fr-BE"/>
              </w:rPr>
              <w:t xml:space="preserve">Rapport de la CENI et rapports des </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impliquées dans l’action.</w:t>
            </w:r>
          </w:p>
          <w:p w14:paraId="6E8B992C"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1.2 Rapports de l’action, Rapport de la CENI</w:t>
            </w:r>
          </w:p>
          <w:p w14:paraId="7C80120F"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 1.3 Rapports de l’action </w:t>
            </w:r>
          </w:p>
          <w:p w14:paraId="5841CB00"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1.4 Rapport de la CENI et rapports de l’action</w:t>
            </w:r>
          </w:p>
          <w:p w14:paraId="6F159B16"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1.5 Rapports des </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Rapports de la CENI, Rapports de la </w:t>
            </w:r>
            <w:proofErr w:type="spellStart"/>
            <w:r w:rsidRPr="005B22BD">
              <w:rPr>
                <w:rFonts w:eastAsia="Calibri"/>
                <w:color w:val="0D0D0D"/>
                <w:sz w:val="20"/>
                <w:lang w:val="fr-BE"/>
              </w:rPr>
              <w:t>CNIDH</w:t>
            </w:r>
            <w:proofErr w:type="spellEnd"/>
          </w:p>
          <w:p w14:paraId="2AEB7DE6" w14:textId="77777777" w:rsidR="005B22BD" w:rsidRPr="005B22BD" w:rsidRDefault="005B22BD" w:rsidP="005B22BD">
            <w:pPr>
              <w:widowControl/>
              <w:autoSpaceDE/>
              <w:autoSpaceDN/>
              <w:spacing w:after="100" w:afterAutospacing="1"/>
              <w:jc w:val="both"/>
              <w:rPr>
                <w:rFonts w:eastAsia="Calibri"/>
                <w:color w:val="0D0D0D"/>
                <w:sz w:val="20"/>
                <w:lang w:val="fr-BE"/>
              </w:rPr>
            </w:pPr>
          </w:p>
        </w:tc>
        <w:tc>
          <w:tcPr>
            <w:tcW w:w="582" w:type="pct"/>
            <w:shd w:val="clear" w:color="auto" w:fill="auto"/>
            <w:vAlign w:val="center"/>
          </w:tcPr>
          <w:p w14:paraId="2749B167"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Absence de conflits majeurs permettant la tenue pacifique des élections dans l’ensemble du Burundi.</w:t>
            </w:r>
          </w:p>
          <w:p w14:paraId="512795E2" w14:textId="77777777" w:rsidR="005B22BD" w:rsidRPr="005B22BD" w:rsidRDefault="005B22BD" w:rsidP="005B22BD">
            <w:pPr>
              <w:widowControl/>
              <w:adjustRightInd w:val="0"/>
              <w:spacing w:after="100" w:afterAutospacing="1"/>
              <w:jc w:val="both"/>
              <w:rPr>
                <w:rFonts w:eastAsia="Calibri"/>
                <w:color w:val="0D0D0D"/>
                <w:sz w:val="20"/>
                <w:lang w:val="fr-BE"/>
              </w:rPr>
            </w:pPr>
          </w:p>
          <w:p w14:paraId="76ADD44B" w14:textId="77777777" w:rsidR="005B22BD" w:rsidRPr="005B22BD" w:rsidRDefault="005B22BD" w:rsidP="005B22BD">
            <w:pPr>
              <w:widowControl/>
              <w:adjustRightInd w:val="0"/>
              <w:spacing w:after="100" w:afterAutospacing="1"/>
              <w:jc w:val="both"/>
              <w:rPr>
                <w:rFonts w:eastAsia="Calibri"/>
                <w:color w:val="0D0D0D"/>
                <w:sz w:val="20"/>
                <w:highlight w:val="yellow"/>
                <w:lang w:val="fr-BE"/>
              </w:rPr>
            </w:pPr>
            <w:r w:rsidRPr="005B22BD">
              <w:rPr>
                <w:rFonts w:eastAsia="Calibri"/>
                <w:color w:val="0D0D0D"/>
                <w:sz w:val="20"/>
                <w:lang w:val="fr-BE"/>
              </w:rPr>
              <w:t>Les autorités burundaises n’introduiront pas de mesures supplémentaires de contrôle et/ou réduisant l’indépendance et de la société civile.</w:t>
            </w:r>
          </w:p>
        </w:tc>
      </w:tr>
      <w:tr w:rsidR="005B22BD" w:rsidRPr="005B22BD" w14:paraId="6A6E14DD" w14:textId="77777777" w:rsidTr="005B22BD">
        <w:trPr>
          <w:trHeight w:val="418"/>
          <w:tblHeader/>
        </w:trPr>
        <w:tc>
          <w:tcPr>
            <w:tcW w:w="711" w:type="pct"/>
            <w:shd w:val="clear" w:color="auto" w:fill="D9D9D9"/>
            <w:vAlign w:val="center"/>
          </w:tcPr>
          <w:p w14:paraId="393F29E0"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Effet direct 2</w:t>
            </w:r>
          </w:p>
          <w:p w14:paraId="473653BC" w14:textId="77777777" w:rsidR="005B22BD" w:rsidRPr="005B22BD" w:rsidRDefault="005B22BD" w:rsidP="005B22BD">
            <w:pPr>
              <w:widowControl/>
              <w:tabs>
                <w:tab w:val="left" w:pos="0"/>
              </w:tabs>
              <w:autoSpaceDE/>
              <w:autoSpaceDN/>
              <w:spacing w:after="100" w:afterAutospacing="1"/>
              <w:rPr>
                <w:rFonts w:eastAsia="Calibri"/>
                <w:b/>
                <w:color w:val="0D0D0D"/>
                <w:sz w:val="20"/>
                <w:lang w:val="fr-BE"/>
              </w:rPr>
            </w:pPr>
          </w:p>
        </w:tc>
        <w:tc>
          <w:tcPr>
            <w:tcW w:w="1051" w:type="pct"/>
            <w:shd w:val="clear" w:color="auto" w:fill="auto"/>
            <w:vAlign w:val="center"/>
          </w:tcPr>
          <w:p w14:paraId="0A373994"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 Renforcer les capacités institutionnelles des organes de gestion des élections pour l’amélioration de la qualité de l’organisation des élections au regard des standards internationaux</w:t>
            </w:r>
          </w:p>
        </w:tc>
        <w:tc>
          <w:tcPr>
            <w:tcW w:w="1066" w:type="pct"/>
            <w:shd w:val="clear" w:color="auto" w:fill="FFFFFF"/>
            <w:vAlign w:val="center"/>
          </w:tcPr>
          <w:p w14:paraId="03A893EC"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 xml:space="preserve">2.1 Nombre de personnes bénéficiaires au sein de la CENI, de la </w:t>
            </w:r>
            <w:proofErr w:type="spellStart"/>
            <w:r w:rsidRPr="005B22BD">
              <w:rPr>
                <w:rFonts w:eastAsia="Calibri"/>
                <w:color w:val="0D0D0D"/>
                <w:sz w:val="20"/>
                <w:lang w:val="fr-BE"/>
              </w:rPr>
              <w:t>CNIDH</w:t>
            </w:r>
            <w:proofErr w:type="spellEnd"/>
            <w:r w:rsidRPr="005B22BD">
              <w:rPr>
                <w:rFonts w:eastAsia="Calibri"/>
                <w:color w:val="0D0D0D"/>
                <w:sz w:val="20"/>
                <w:lang w:val="fr-BE"/>
              </w:rPr>
              <w:t xml:space="preserve"> et de l’Ombudsman d’actions de renforcement de capacités et ayant acquis avec le soutien de l’UE de nouvelles compétences pour l’organisation d’élections (H/F et âge)</w:t>
            </w:r>
          </w:p>
          <w:p w14:paraId="753F7E34"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 xml:space="preserve">2.2 Statut du fichier des électeurs mis à jour avec le soutien de l’UE </w:t>
            </w:r>
          </w:p>
          <w:p w14:paraId="1FD976F2"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2.3 Statut d’une cartographie électorale mise en place avec le soutien de l’UE</w:t>
            </w:r>
          </w:p>
          <w:p w14:paraId="74B4E4AC"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2.4 Nombre d’accréditations délivrées par la CENI aux observateurs nationaux selon les délais prévus par la loi désagrégée par sexe, âge </w:t>
            </w:r>
          </w:p>
          <w:p w14:paraId="5AB5949E"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2.5 Nombre de femmes participant aux élections de 2025 </w:t>
            </w:r>
          </w:p>
          <w:p w14:paraId="03134E3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2.6 Nombre de votes invalides</w:t>
            </w:r>
          </w:p>
          <w:p w14:paraId="16AD2FA9"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2.7 Mise à jour du Code électoral</w:t>
            </w:r>
          </w:p>
        </w:tc>
        <w:tc>
          <w:tcPr>
            <w:tcW w:w="453" w:type="pct"/>
            <w:shd w:val="clear" w:color="auto" w:fill="FFFFFF"/>
            <w:vAlign w:val="center"/>
          </w:tcPr>
          <w:p w14:paraId="0D0A346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 0 (2022)</w:t>
            </w:r>
          </w:p>
          <w:p w14:paraId="5B88FAE7" w14:textId="77777777" w:rsidR="005B22BD" w:rsidRPr="005B22BD" w:rsidRDefault="005B22BD" w:rsidP="005B22BD">
            <w:pPr>
              <w:widowControl/>
              <w:autoSpaceDE/>
              <w:autoSpaceDN/>
              <w:spacing w:after="100" w:afterAutospacing="1"/>
              <w:rPr>
                <w:rFonts w:eastAsia="Calibri"/>
                <w:color w:val="0D0D0D"/>
                <w:sz w:val="20"/>
                <w:lang w:val="fr-BE"/>
              </w:rPr>
            </w:pPr>
          </w:p>
          <w:p w14:paraId="310E658E"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2.2</w:t>
            </w:r>
            <w:r w:rsidRPr="005B22BD">
              <w:rPr>
                <w:rFonts w:eastAsia="Calibri"/>
                <w:lang w:val="fr-BE"/>
              </w:rPr>
              <w:t xml:space="preserve"> </w:t>
            </w:r>
            <w:r w:rsidRPr="005B22BD">
              <w:rPr>
                <w:rFonts w:eastAsia="Calibri"/>
                <w:color w:val="0D0D0D"/>
                <w:sz w:val="20"/>
                <w:lang w:val="fr-BE"/>
              </w:rPr>
              <w:t>0 (2022)</w:t>
            </w:r>
          </w:p>
          <w:p w14:paraId="105AD92C" w14:textId="77777777" w:rsidR="005B22BD" w:rsidRPr="005B22BD" w:rsidRDefault="005B22BD" w:rsidP="005B22BD">
            <w:pPr>
              <w:widowControl/>
              <w:autoSpaceDE/>
              <w:autoSpaceDN/>
              <w:spacing w:after="100" w:afterAutospacing="1"/>
              <w:rPr>
                <w:rFonts w:eastAsia="Calibri"/>
                <w:color w:val="0D0D0D"/>
                <w:sz w:val="20"/>
                <w:lang w:val="fr-BE"/>
              </w:rPr>
            </w:pPr>
          </w:p>
          <w:p w14:paraId="084A25A2"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2.3 0 (2022)</w:t>
            </w:r>
          </w:p>
          <w:p w14:paraId="1F92779E"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2.4 40 (2020)</w:t>
            </w:r>
          </w:p>
          <w:p w14:paraId="5103B1FA" w14:textId="77777777" w:rsidR="005B22BD" w:rsidRPr="005B22BD" w:rsidRDefault="005B22BD" w:rsidP="005B22BD">
            <w:pPr>
              <w:widowControl/>
              <w:autoSpaceDE/>
              <w:autoSpaceDN/>
              <w:spacing w:after="100" w:afterAutospacing="1"/>
              <w:rPr>
                <w:rFonts w:eastAsia="Calibri"/>
                <w:sz w:val="20"/>
                <w:lang w:val="fr-BE"/>
              </w:rPr>
            </w:pPr>
            <w:r w:rsidRPr="005B22BD">
              <w:rPr>
                <w:rFonts w:eastAsia="Calibri"/>
                <w:sz w:val="20"/>
                <w:lang w:val="fr-BE"/>
              </w:rPr>
              <w:t>2.5 2,201,000 soit 52,45% des votants (2020)</w:t>
            </w:r>
          </w:p>
          <w:p w14:paraId="15CFABE6" w14:textId="77777777" w:rsidR="005B22BD" w:rsidRPr="005B22BD" w:rsidRDefault="005B22BD" w:rsidP="005B22BD">
            <w:pPr>
              <w:widowControl/>
              <w:autoSpaceDE/>
              <w:autoSpaceDN/>
              <w:spacing w:after="100" w:afterAutospacing="1"/>
              <w:rPr>
                <w:rFonts w:eastAsia="Calibri"/>
                <w:sz w:val="20"/>
                <w:lang w:val="fr-BE"/>
              </w:rPr>
            </w:pPr>
            <w:r w:rsidRPr="005B22BD">
              <w:rPr>
                <w:rFonts w:eastAsia="Calibri"/>
                <w:sz w:val="20"/>
                <w:lang w:val="fr-BE"/>
              </w:rPr>
              <w:t>2.6 2.05% (2020)</w:t>
            </w:r>
          </w:p>
          <w:p w14:paraId="5B02557E"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sz w:val="20"/>
                <w:lang w:val="fr-BE"/>
              </w:rPr>
              <w:t>2.7 0 (2022)</w:t>
            </w:r>
          </w:p>
        </w:tc>
        <w:tc>
          <w:tcPr>
            <w:tcW w:w="526" w:type="pct"/>
            <w:shd w:val="clear" w:color="auto" w:fill="FFFFFF"/>
            <w:vAlign w:val="center"/>
          </w:tcPr>
          <w:p w14:paraId="0396B2CC" w14:textId="77777777" w:rsidR="005B22BD" w:rsidRPr="005B22BD" w:rsidRDefault="005B22BD" w:rsidP="005B22BD">
            <w:pPr>
              <w:widowControl/>
              <w:autoSpaceDE/>
              <w:autoSpaceDN/>
              <w:spacing w:after="100" w:afterAutospacing="1"/>
              <w:rPr>
                <w:rFonts w:eastAsia="Calibri"/>
                <w:color w:val="0D0D0D"/>
                <w:sz w:val="20"/>
                <w:lang w:val="fr-BE"/>
              </w:rPr>
            </w:pPr>
          </w:p>
          <w:p w14:paraId="4755DE6D"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w:t>
            </w:r>
            <w:r w:rsidRPr="005B22BD">
              <w:rPr>
                <w:rFonts w:eastAsia="Calibri"/>
                <w:lang w:val="fr-BE"/>
              </w:rPr>
              <w:t xml:space="preserve"> </w:t>
            </w:r>
            <w:r w:rsidRPr="005B22BD">
              <w:rPr>
                <w:rFonts w:eastAsia="Calibri"/>
                <w:color w:val="0D0D0D"/>
                <w:sz w:val="20"/>
                <w:lang w:val="fr-BE"/>
              </w:rPr>
              <w:t>À définir</w:t>
            </w:r>
          </w:p>
          <w:p w14:paraId="4442DCC8" w14:textId="77777777" w:rsidR="005B22BD" w:rsidRPr="005B22BD" w:rsidRDefault="005B22BD" w:rsidP="005B22BD">
            <w:pPr>
              <w:widowControl/>
              <w:autoSpaceDE/>
              <w:autoSpaceDN/>
              <w:spacing w:after="100" w:afterAutospacing="1"/>
              <w:rPr>
                <w:rFonts w:eastAsia="Calibri"/>
                <w:color w:val="0D0D0D"/>
                <w:sz w:val="20"/>
                <w:lang w:val="fr-BE"/>
              </w:rPr>
            </w:pPr>
          </w:p>
          <w:p w14:paraId="541CAEAF"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2.2</w:t>
            </w:r>
            <w:r w:rsidRPr="005B22BD">
              <w:rPr>
                <w:rFonts w:eastAsia="Calibri"/>
                <w:lang w:val="fr-BE"/>
              </w:rPr>
              <w:t xml:space="preserve"> </w:t>
            </w:r>
            <w:r w:rsidRPr="005B22BD">
              <w:rPr>
                <w:rFonts w:eastAsia="Calibri"/>
                <w:color w:val="0D0D0D"/>
                <w:sz w:val="20"/>
                <w:lang w:val="fr-BE"/>
              </w:rPr>
              <w:t>À définir</w:t>
            </w:r>
          </w:p>
          <w:p w14:paraId="6B665B18"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2.3 À définir (2025)</w:t>
            </w:r>
          </w:p>
          <w:p w14:paraId="50C19AA8"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2.4</w:t>
            </w:r>
            <w:r w:rsidRPr="005B22BD">
              <w:rPr>
                <w:rFonts w:eastAsia="Calibri"/>
                <w:lang w:val="fr-BE"/>
              </w:rPr>
              <w:t xml:space="preserve"> </w:t>
            </w:r>
            <w:r w:rsidRPr="005B22BD">
              <w:rPr>
                <w:rFonts w:eastAsia="Calibri"/>
                <w:color w:val="0D0D0D"/>
                <w:sz w:val="20"/>
                <w:lang w:val="fr-BE"/>
              </w:rPr>
              <w:t>À définir</w:t>
            </w:r>
          </w:p>
          <w:p w14:paraId="2E571173"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2.5 Amélioration</w:t>
            </w:r>
          </w:p>
          <w:p w14:paraId="5D452A43"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2.6</w:t>
            </w:r>
            <w:r w:rsidRPr="005B22BD">
              <w:rPr>
                <w:rFonts w:eastAsia="Calibri"/>
                <w:lang w:val="fr-BE"/>
              </w:rPr>
              <w:t xml:space="preserve"> </w:t>
            </w:r>
            <w:r w:rsidRPr="005B22BD">
              <w:rPr>
                <w:rFonts w:eastAsia="Calibri"/>
                <w:color w:val="0D0D0D"/>
                <w:sz w:val="20"/>
                <w:lang w:val="fr-BE"/>
              </w:rPr>
              <w:t xml:space="preserve">À </w:t>
            </w:r>
            <w:proofErr w:type="gramStart"/>
            <w:r w:rsidRPr="005B22BD">
              <w:rPr>
                <w:rFonts w:eastAsia="Calibri"/>
                <w:color w:val="0D0D0D"/>
                <w:sz w:val="20"/>
                <w:lang w:val="fr-BE"/>
              </w:rPr>
              <w:t>définir  (</w:t>
            </w:r>
            <w:proofErr w:type="gramEnd"/>
            <w:r w:rsidRPr="005B22BD">
              <w:rPr>
                <w:rFonts w:eastAsia="Calibri"/>
                <w:color w:val="0D0D0D"/>
                <w:sz w:val="20"/>
                <w:lang w:val="fr-BE"/>
              </w:rPr>
              <w:t>2025)</w:t>
            </w:r>
          </w:p>
          <w:p w14:paraId="4173431A"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2.7 1 (2025)</w:t>
            </w:r>
          </w:p>
        </w:tc>
        <w:tc>
          <w:tcPr>
            <w:tcW w:w="610" w:type="pct"/>
            <w:shd w:val="clear" w:color="auto" w:fill="FFFFFF"/>
            <w:vAlign w:val="center"/>
          </w:tcPr>
          <w:p w14:paraId="7DE21276"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2.1 Rapports de l’action </w:t>
            </w:r>
          </w:p>
          <w:p w14:paraId="64EB26C9"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2.2</w:t>
            </w:r>
            <w:r w:rsidRPr="005B22BD">
              <w:rPr>
                <w:rFonts w:eastAsia="Calibri"/>
                <w:lang w:val="fr-BE"/>
              </w:rPr>
              <w:t xml:space="preserve"> </w:t>
            </w:r>
            <w:r w:rsidRPr="005B22BD">
              <w:rPr>
                <w:rFonts w:eastAsia="Calibri"/>
                <w:color w:val="0D0D0D"/>
                <w:sz w:val="20"/>
                <w:lang w:val="fr-BE"/>
              </w:rPr>
              <w:t xml:space="preserve">Calendrier électoral et rapports CENI et </w:t>
            </w:r>
            <w:proofErr w:type="spellStart"/>
            <w:r w:rsidRPr="005B22BD">
              <w:rPr>
                <w:rFonts w:eastAsia="Calibri"/>
                <w:color w:val="0D0D0D"/>
                <w:sz w:val="20"/>
                <w:lang w:val="fr-BE"/>
              </w:rPr>
              <w:t>OSC</w:t>
            </w:r>
            <w:proofErr w:type="spellEnd"/>
            <w:r w:rsidRPr="005B22BD">
              <w:rPr>
                <w:rFonts w:eastAsia="Calibri"/>
                <w:color w:val="0D0D0D"/>
                <w:sz w:val="20"/>
                <w:lang w:val="fr-BE"/>
              </w:rPr>
              <w:t>.</w:t>
            </w:r>
          </w:p>
          <w:p w14:paraId="2C3BD8D8"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2.3 Rapports de la CENI et de l’action</w:t>
            </w:r>
          </w:p>
          <w:p w14:paraId="0EFA988F" w14:textId="77777777" w:rsidR="005B22BD" w:rsidRPr="005B22BD" w:rsidRDefault="005B22BD" w:rsidP="005B22BD">
            <w:pPr>
              <w:widowControl/>
              <w:autoSpaceDE/>
              <w:autoSpaceDN/>
              <w:spacing w:after="100" w:afterAutospacing="1"/>
              <w:rPr>
                <w:rFonts w:eastAsia="Calibri"/>
                <w:color w:val="0D0D0D"/>
                <w:sz w:val="20"/>
                <w:highlight w:val="yellow"/>
                <w:lang w:val="fr-BE"/>
              </w:rPr>
            </w:pPr>
            <w:r w:rsidRPr="005B22BD">
              <w:rPr>
                <w:rFonts w:eastAsia="Calibri"/>
                <w:color w:val="0D0D0D"/>
                <w:sz w:val="20"/>
                <w:lang w:val="fr-BE"/>
              </w:rPr>
              <w:t xml:space="preserve">2.4, 2.5, 2.6, 2.7 </w:t>
            </w:r>
            <w:r w:rsidRPr="005B22BD">
              <w:rPr>
                <w:rFonts w:eastAsia="Calibri"/>
                <w:lang w:val="fr-BE"/>
              </w:rPr>
              <w:t xml:space="preserve"> </w:t>
            </w:r>
            <w:r w:rsidRPr="005B22BD">
              <w:rPr>
                <w:rFonts w:eastAsia="Calibri"/>
                <w:color w:val="0D0D0D"/>
                <w:sz w:val="20"/>
                <w:lang w:val="fr-BE"/>
              </w:rPr>
              <w:t>Rapports de la CENI et de l’action</w:t>
            </w:r>
          </w:p>
        </w:tc>
        <w:tc>
          <w:tcPr>
            <w:tcW w:w="582" w:type="pct"/>
            <w:shd w:val="clear" w:color="auto" w:fill="auto"/>
            <w:vAlign w:val="center"/>
          </w:tcPr>
          <w:p w14:paraId="3EBB615E"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Collaboration effective avec la CENI</w:t>
            </w:r>
          </w:p>
          <w:p w14:paraId="35932E90" w14:textId="77777777" w:rsidR="005B22BD" w:rsidRPr="005B22BD" w:rsidRDefault="005B22BD" w:rsidP="005B22BD">
            <w:pPr>
              <w:widowControl/>
              <w:adjustRightInd w:val="0"/>
              <w:spacing w:after="100" w:afterAutospacing="1"/>
              <w:jc w:val="both"/>
              <w:rPr>
                <w:rFonts w:eastAsia="Calibri"/>
                <w:color w:val="0D0D0D"/>
                <w:sz w:val="20"/>
                <w:highlight w:val="yellow"/>
                <w:lang w:val="fr-BE"/>
              </w:rPr>
            </w:pPr>
            <w:r w:rsidRPr="005B22BD">
              <w:rPr>
                <w:rFonts w:eastAsia="Calibri"/>
                <w:color w:val="0D0D0D"/>
                <w:sz w:val="20"/>
                <w:lang w:val="fr-BE"/>
              </w:rPr>
              <w:t>Ouverture au dialogue effectif entre les autorités et la société civile sur les sujets concernant la gouvernance.</w:t>
            </w:r>
          </w:p>
        </w:tc>
      </w:tr>
      <w:tr w:rsidR="005B22BD" w:rsidRPr="005B22BD" w14:paraId="1C01EB64" w14:textId="77777777" w:rsidTr="005B22BD">
        <w:trPr>
          <w:trHeight w:val="418"/>
          <w:tblHeader/>
        </w:trPr>
        <w:tc>
          <w:tcPr>
            <w:tcW w:w="711" w:type="pct"/>
            <w:shd w:val="clear" w:color="auto" w:fill="D9D9D9"/>
            <w:vAlign w:val="center"/>
          </w:tcPr>
          <w:p w14:paraId="1C23583A"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Effet direct 3</w:t>
            </w:r>
          </w:p>
        </w:tc>
        <w:tc>
          <w:tcPr>
            <w:tcW w:w="1051" w:type="pct"/>
            <w:shd w:val="clear" w:color="auto" w:fill="auto"/>
            <w:vAlign w:val="center"/>
          </w:tcPr>
          <w:p w14:paraId="12FC58C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3. </w:t>
            </w:r>
            <w:r w:rsidRPr="005B22BD">
              <w:rPr>
                <w:rFonts w:eastAsia="Calibri"/>
                <w:lang w:val="fr-BE"/>
              </w:rPr>
              <w:t xml:space="preserve">  </w:t>
            </w:r>
            <w:r w:rsidRPr="005B22BD">
              <w:rPr>
                <w:rFonts w:eastAsia="Calibri"/>
                <w:color w:val="0D0D0D"/>
                <w:sz w:val="20"/>
                <w:lang w:val="fr-BE"/>
              </w:rPr>
              <w:t>Appuyer les partis politiques afin qu’ils soient mieux structurés, plus redevables, inclusifs et responsabilisés.</w:t>
            </w:r>
          </w:p>
        </w:tc>
        <w:tc>
          <w:tcPr>
            <w:tcW w:w="1066" w:type="pct"/>
            <w:shd w:val="clear" w:color="auto" w:fill="FFFFFF"/>
            <w:vAlign w:val="center"/>
          </w:tcPr>
          <w:p w14:paraId="75E77EFF"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3.1</w:t>
            </w:r>
            <w:r w:rsidRPr="005B22BD">
              <w:rPr>
                <w:rFonts w:eastAsia="Calibri"/>
                <w:lang w:val="fr-BE"/>
              </w:rPr>
              <w:t xml:space="preserve"> </w:t>
            </w:r>
            <w:r w:rsidRPr="005B22BD">
              <w:rPr>
                <w:rFonts w:eastAsia="Calibri"/>
                <w:color w:val="0D0D0D"/>
                <w:sz w:val="20"/>
                <w:lang w:val="fr-BE"/>
              </w:rPr>
              <w:t>Niveau de la gouvernance démocratique interne aux partis politiques, y compris en termes d’</w:t>
            </w:r>
            <w:proofErr w:type="spellStart"/>
            <w:r w:rsidRPr="005B22BD">
              <w:rPr>
                <w:rFonts w:eastAsia="Calibri"/>
                <w:color w:val="0D0D0D"/>
                <w:sz w:val="20"/>
                <w:lang w:val="fr-BE"/>
              </w:rPr>
              <w:t>inclusivité</w:t>
            </w:r>
            <w:proofErr w:type="spellEnd"/>
            <w:r w:rsidRPr="005B22BD">
              <w:rPr>
                <w:rFonts w:eastAsia="Calibri"/>
                <w:color w:val="0D0D0D"/>
                <w:sz w:val="20"/>
                <w:lang w:val="fr-BE"/>
              </w:rPr>
              <w:t xml:space="preserve"> des femmes et des jeunes, et de leurs capacités programmatiques.</w:t>
            </w:r>
          </w:p>
          <w:p w14:paraId="4CFFE443" w14:textId="77777777" w:rsidR="005B22BD" w:rsidRPr="005B22BD" w:rsidRDefault="005B22BD" w:rsidP="005B22BD">
            <w:pPr>
              <w:widowControl/>
              <w:adjustRightInd w:val="0"/>
              <w:spacing w:after="100" w:afterAutospacing="1"/>
              <w:jc w:val="both"/>
              <w:rPr>
                <w:rFonts w:eastAsia="Calibri"/>
                <w:color w:val="0D0D0D"/>
                <w:sz w:val="20"/>
                <w:lang w:val="fr-BE"/>
              </w:rPr>
            </w:pPr>
          </w:p>
          <w:p w14:paraId="0FE4C046"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3.2</w:t>
            </w:r>
            <w:r w:rsidRPr="005B22BD">
              <w:rPr>
                <w:rFonts w:eastAsia="Calibri"/>
                <w:lang w:val="fr-BE"/>
              </w:rPr>
              <w:t xml:space="preserve"> </w:t>
            </w:r>
            <w:r w:rsidRPr="005B22BD">
              <w:rPr>
                <w:rFonts w:eastAsia="Calibri"/>
                <w:color w:val="0D0D0D"/>
                <w:sz w:val="20"/>
                <w:lang w:val="fr-BE"/>
              </w:rPr>
              <w:t>Niveau de participation des différentes forces politiques dans les différentes circonscriptions électorales (provinces et communes).</w:t>
            </w:r>
          </w:p>
          <w:p w14:paraId="55B1006A" w14:textId="77777777" w:rsidR="005B22BD" w:rsidRPr="005B22BD" w:rsidRDefault="005B22BD" w:rsidP="005B22BD">
            <w:pPr>
              <w:widowControl/>
              <w:adjustRightInd w:val="0"/>
              <w:spacing w:after="100" w:afterAutospacing="1"/>
              <w:jc w:val="both"/>
              <w:rPr>
                <w:rFonts w:eastAsia="Calibri"/>
                <w:color w:val="0D0D0D"/>
                <w:sz w:val="20"/>
                <w:lang w:val="fr-BE"/>
              </w:rPr>
            </w:pPr>
          </w:p>
          <w:p w14:paraId="0269CB30" w14:textId="77777777" w:rsidR="005B22BD" w:rsidRPr="005B22BD" w:rsidRDefault="005B22BD" w:rsidP="005B22BD">
            <w:pPr>
              <w:widowControl/>
              <w:adjustRightInd w:val="0"/>
              <w:spacing w:after="100" w:afterAutospacing="1"/>
              <w:jc w:val="both"/>
              <w:rPr>
                <w:rFonts w:eastAsia="Calibri"/>
                <w:color w:val="0D0D0D"/>
                <w:sz w:val="20"/>
                <w:lang w:val="fr-BE"/>
              </w:rPr>
            </w:pPr>
          </w:p>
          <w:p w14:paraId="2FA49A66"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3.3 Nombre de programmes électoraux produits et de femmes/jeunes impliqués activement dans le processus électoral</w:t>
            </w:r>
          </w:p>
          <w:p w14:paraId="58C40A1B" w14:textId="77777777" w:rsidR="005B22BD" w:rsidRPr="005B22BD" w:rsidRDefault="005B22BD" w:rsidP="005B22BD">
            <w:pPr>
              <w:widowControl/>
              <w:adjustRightInd w:val="0"/>
              <w:spacing w:after="100" w:afterAutospacing="1"/>
              <w:jc w:val="both"/>
              <w:rPr>
                <w:rFonts w:eastAsia="Calibri"/>
                <w:color w:val="0D0D0D"/>
                <w:sz w:val="20"/>
                <w:lang w:val="fr-BE"/>
              </w:rPr>
            </w:pPr>
          </w:p>
          <w:p w14:paraId="73C4907C"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3.4 Nombre de partis politiques appuyés dans leurs actions programmatiques avec le soutien de l’UE</w:t>
            </w:r>
          </w:p>
        </w:tc>
        <w:tc>
          <w:tcPr>
            <w:tcW w:w="453" w:type="pct"/>
            <w:shd w:val="clear" w:color="auto" w:fill="FFFFFF"/>
            <w:vAlign w:val="center"/>
          </w:tcPr>
          <w:p w14:paraId="56E7EDB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3.1 0 Nombre programmes électoraux produits et de femmes/jeunes impliqués (2020)</w:t>
            </w:r>
          </w:p>
          <w:p w14:paraId="1A976B50"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gramStart"/>
            <w:r w:rsidRPr="005B22BD">
              <w:rPr>
                <w:rFonts w:eastAsia="Calibri"/>
                <w:color w:val="0D0D0D"/>
                <w:sz w:val="20"/>
                <w:lang w:val="fr-BE"/>
              </w:rPr>
              <w:t xml:space="preserve">3.2 </w:t>
            </w:r>
            <w:r w:rsidRPr="005B22BD">
              <w:rPr>
                <w:rFonts w:eastAsia="Calibri"/>
                <w:lang w:val="fr-BE"/>
              </w:rPr>
              <w:t xml:space="preserve"> </w:t>
            </w:r>
            <w:proofErr w:type="spellStart"/>
            <w:r w:rsidRPr="005B22BD">
              <w:rPr>
                <w:rFonts w:eastAsia="Calibri"/>
                <w:color w:val="0D0D0D"/>
                <w:sz w:val="20"/>
                <w:lang w:val="fr-BE"/>
              </w:rPr>
              <w:t>CNDD</w:t>
            </w:r>
            <w:proofErr w:type="gramEnd"/>
            <w:r w:rsidRPr="005B22BD">
              <w:rPr>
                <w:rFonts w:eastAsia="Calibri"/>
                <w:color w:val="0D0D0D"/>
                <w:sz w:val="20"/>
                <w:lang w:val="fr-BE"/>
              </w:rPr>
              <w:t>-FDD</w:t>
            </w:r>
            <w:proofErr w:type="spellEnd"/>
            <w:r w:rsidRPr="005B22BD">
              <w:rPr>
                <w:rFonts w:eastAsia="Calibri"/>
                <w:color w:val="0D0D0D"/>
                <w:sz w:val="20"/>
                <w:lang w:val="fr-BE"/>
              </w:rPr>
              <w:t xml:space="preserve"> (18 provinces et 119 collines)</w:t>
            </w:r>
          </w:p>
          <w:p w14:paraId="3DFC89C5"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proofErr w:type="gramStart"/>
            <w:r w:rsidRPr="005B22BD">
              <w:rPr>
                <w:rFonts w:eastAsia="Calibri"/>
                <w:color w:val="0D0D0D"/>
                <w:sz w:val="20"/>
                <w:lang w:val="fr-BE"/>
              </w:rPr>
              <w:t>CNL</w:t>
            </w:r>
            <w:proofErr w:type="spellEnd"/>
            <w:r w:rsidRPr="005B22BD">
              <w:rPr>
                <w:rFonts w:eastAsia="Calibri"/>
                <w:color w:val="0D0D0D"/>
                <w:sz w:val="20"/>
                <w:lang w:val="fr-BE"/>
              </w:rPr>
              <w:t>(</w:t>
            </w:r>
            <w:proofErr w:type="gramEnd"/>
            <w:r w:rsidRPr="005B22BD">
              <w:rPr>
                <w:rFonts w:eastAsia="Calibri"/>
                <w:color w:val="0D0D0D"/>
                <w:sz w:val="20"/>
                <w:lang w:val="fr-BE"/>
              </w:rPr>
              <w:t>18 provinces et 119 collines)</w:t>
            </w:r>
          </w:p>
          <w:p w14:paraId="1C3E1CC4"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r w:rsidRPr="005B22BD">
              <w:rPr>
                <w:rFonts w:eastAsia="Calibri"/>
                <w:color w:val="0D0D0D"/>
                <w:sz w:val="20"/>
                <w:lang w:val="fr-BE"/>
              </w:rPr>
              <w:t>FNL</w:t>
            </w:r>
            <w:proofErr w:type="spellEnd"/>
            <w:r w:rsidRPr="005B22BD">
              <w:rPr>
                <w:rFonts w:eastAsia="Calibri"/>
                <w:color w:val="0D0D0D"/>
                <w:sz w:val="20"/>
                <w:lang w:val="fr-BE"/>
              </w:rPr>
              <w:t xml:space="preserve"> (16 provinces et 116 collines)</w:t>
            </w:r>
          </w:p>
          <w:p w14:paraId="15E248A6"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r w:rsidRPr="005B22BD">
              <w:rPr>
                <w:rFonts w:eastAsia="Calibri"/>
                <w:color w:val="0D0D0D"/>
                <w:sz w:val="20"/>
                <w:lang w:val="fr-BE"/>
              </w:rPr>
              <w:t>FRODEBU</w:t>
            </w:r>
            <w:proofErr w:type="spellEnd"/>
            <w:r w:rsidRPr="005B22BD">
              <w:rPr>
                <w:rFonts w:eastAsia="Calibri"/>
                <w:color w:val="0D0D0D"/>
                <w:sz w:val="20"/>
                <w:lang w:val="fr-BE"/>
              </w:rPr>
              <w:t xml:space="preserve"> </w:t>
            </w:r>
            <w:proofErr w:type="spellStart"/>
            <w:r w:rsidRPr="005B22BD">
              <w:rPr>
                <w:rFonts w:eastAsia="Calibri"/>
                <w:color w:val="0D0D0D"/>
                <w:sz w:val="20"/>
                <w:lang w:val="fr-BE"/>
              </w:rPr>
              <w:t>NYAKURI</w:t>
            </w:r>
            <w:proofErr w:type="spellEnd"/>
            <w:r w:rsidRPr="005B22BD">
              <w:rPr>
                <w:rFonts w:eastAsia="Calibri"/>
                <w:color w:val="0D0D0D"/>
                <w:sz w:val="20"/>
                <w:lang w:val="fr-BE"/>
              </w:rPr>
              <w:t xml:space="preserve"> (13 provinces, 22 collines)</w:t>
            </w:r>
          </w:p>
          <w:p w14:paraId="2509B9AF"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r w:rsidRPr="005B22BD">
              <w:rPr>
                <w:rFonts w:eastAsia="Calibri"/>
                <w:color w:val="0D0D0D"/>
                <w:sz w:val="20"/>
                <w:lang w:val="fr-BE"/>
              </w:rPr>
              <w:t>SAHWANYA</w:t>
            </w:r>
            <w:proofErr w:type="spellEnd"/>
            <w:r w:rsidRPr="005B22BD">
              <w:rPr>
                <w:rFonts w:eastAsia="Calibri"/>
                <w:color w:val="0D0D0D"/>
                <w:sz w:val="20"/>
                <w:lang w:val="fr-BE"/>
              </w:rPr>
              <w:t xml:space="preserve"> </w:t>
            </w:r>
            <w:proofErr w:type="spellStart"/>
            <w:proofErr w:type="gramStart"/>
            <w:r w:rsidRPr="005B22BD">
              <w:rPr>
                <w:rFonts w:eastAsia="Calibri"/>
                <w:color w:val="0D0D0D"/>
                <w:sz w:val="20"/>
                <w:lang w:val="fr-BE"/>
              </w:rPr>
              <w:t>FRODEBU</w:t>
            </w:r>
            <w:proofErr w:type="spellEnd"/>
            <w:r w:rsidRPr="005B22BD">
              <w:rPr>
                <w:rFonts w:eastAsia="Calibri"/>
                <w:color w:val="0D0D0D"/>
                <w:sz w:val="20"/>
                <w:lang w:val="fr-BE"/>
              </w:rPr>
              <w:t xml:space="preserve">  (</w:t>
            </w:r>
            <w:proofErr w:type="gramEnd"/>
            <w:r w:rsidRPr="005B22BD">
              <w:rPr>
                <w:rFonts w:eastAsia="Calibri"/>
                <w:color w:val="0D0D0D"/>
                <w:sz w:val="20"/>
                <w:lang w:val="fr-BE"/>
              </w:rPr>
              <w:t>17 provinces,  47 collines)</w:t>
            </w:r>
          </w:p>
          <w:p w14:paraId="01253CF4"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r w:rsidRPr="005B22BD">
              <w:rPr>
                <w:rFonts w:eastAsia="Calibri"/>
                <w:color w:val="0D0D0D"/>
                <w:sz w:val="20"/>
                <w:lang w:val="fr-BE"/>
              </w:rPr>
              <w:t>UPRONA</w:t>
            </w:r>
            <w:proofErr w:type="spellEnd"/>
          </w:p>
          <w:p w14:paraId="0CA00FF8" w14:textId="77777777" w:rsidR="005B22BD" w:rsidRPr="005B22BD" w:rsidRDefault="005B22BD" w:rsidP="005B22BD">
            <w:pPr>
              <w:widowControl/>
              <w:autoSpaceDE/>
              <w:autoSpaceDN/>
              <w:spacing w:after="100" w:afterAutospacing="1"/>
              <w:contextualSpacing/>
              <w:rPr>
                <w:rFonts w:eastAsia="Calibri"/>
                <w:color w:val="0D0D0D"/>
                <w:sz w:val="20"/>
                <w:lang w:val="fr-BE"/>
              </w:rPr>
            </w:pPr>
            <w:r w:rsidRPr="005B22BD">
              <w:rPr>
                <w:rFonts w:eastAsia="Calibri"/>
                <w:color w:val="0D0D0D"/>
                <w:sz w:val="20"/>
                <w:lang w:val="fr-BE"/>
              </w:rPr>
              <w:t>(18 provinces, 119 collines)</w:t>
            </w:r>
          </w:p>
          <w:p w14:paraId="739160D4"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spellStart"/>
            <w:r w:rsidRPr="005B22BD">
              <w:rPr>
                <w:rFonts w:eastAsia="Calibri"/>
                <w:color w:val="0D0D0D"/>
                <w:sz w:val="20"/>
                <w:lang w:val="fr-BE"/>
              </w:rPr>
              <w:t>APDR</w:t>
            </w:r>
            <w:proofErr w:type="spellEnd"/>
            <w:r w:rsidRPr="005B22BD">
              <w:rPr>
                <w:rFonts w:eastAsia="Calibri"/>
                <w:color w:val="0D0D0D"/>
                <w:sz w:val="20"/>
                <w:lang w:val="fr-BE"/>
              </w:rPr>
              <w:t xml:space="preserve"> (7 provinces et 5 collines) (2020)</w:t>
            </w:r>
          </w:p>
          <w:p w14:paraId="2B3C9226" w14:textId="77777777" w:rsidR="005B22BD" w:rsidRPr="005B22BD" w:rsidRDefault="005B22BD" w:rsidP="005B22BD">
            <w:pPr>
              <w:widowControl/>
              <w:autoSpaceDE/>
              <w:autoSpaceDN/>
              <w:spacing w:after="100" w:afterAutospacing="1"/>
              <w:contextualSpacing/>
              <w:rPr>
                <w:rFonts w:eastAsia="Calibri"/>
                <w:color w:val="0D0D0D"/>
                <w:sz w:val="20"/>
                <w:lang w:val="fr-BE"/>
              </w:rPr>
            </w:pPr>
            <w:proofErr w:type="gramStart"/>
            <w:r w:rsidRPr="005B22BD">
              <w:rPr>
                <w:rFonts w:eastAsia="Calibri"/>
                <w:color w:val="0D0D0D"/>
                <w:sz w:val="20"/>
                <w:lang w:val="fr-BE"/>
              </w:rPr>
              <w:t xml:space="preserve">3.3 </w:t>
            </w:r>
            <w:r w:rsidRPr="005B22BD">
              <w:rPr>
                <w:rFonts w:eastAsia="Calibri"/>
                <w:lang w:val="fr-BE"/>
              </w:rPr>
              <w:t xml:space="preserve"> </w:t>
            </w:r>
            <w:r w:rsidRPr="005B22BD">
              <w:rPr>
                <w:rFonts w:eastAsia="Calibri"/>
                <w:color w:val="0D0D0D"/>
                <w:sz w:val="20"/>
                <w:lang w:val="fr-BE"/>
              </w:rPr>
              <w:t>0</w:t>
            </w:r>
            <w:proofErr w:type="gramEnd"/>
            <w:r w:rsidRPr="005B22BD">
              <w:rPr>
                <w:rFonts w:eastAsia="Calibri"/>
                <w:color w:val="0D0D0D"/>
                <w:sz w:val="20"/>
                <w:lang w:val="fr-BE"/>
              </w:rPr>
              <w:t xml:space="preserve"> (2020)</w:t>
            </w:r>
          </w:p>
          <w:p w14:paraId="4DBF980A" w14:textId="77777777" w:rsidR="005B22BD" w:rsidRPr="005B22BD" w:rsidRDefault="005B22BD" w:rsidP="005B22BD">
            <w:pPr>
              <w:widowControl/>
              <w:autoSpaceDE/>
              <w:autoSpaceDN/>
              <w:spacing w:after="100" w:afterAutospacing="1"/>
              <w:contextualSpacing/>
              <w:rPr>
                <w:rFonts w:eastAsia="Calibri"/>
                <w:color w:val="0D0D0D"/>
                <w:sz w:val="20"/>
                <w:lang w:val="fr-BE"/>
              </w:rPr>
            </w:pPr>
            <w:r w:rsidRPr="005B22BD">
              <w:rPr>
                <w:rFonts w:eastAsia="Calibri"/>
                <w:color w:val="0D0D0D"/>
                <w:sz w:val="20"/>
                <w:lang w:val="fr-BE"/>
              </w:rPr>
              <w:t>3.4 9 (2020)</w:t>
            </w:r>
          </w:p>
          <w:p w14:paraId="4A38A879" w14:textId="77777777" w:rsidR="005B22BD" w:rsidRPr="005B22BD" w:rsidRDefault="005B22BD" w:rsidP="005B22BD">
            <w:pPr>
              <w:widowControl/>
              <w:autoSpaceDE/>
              <w:autoSpaceDN/>
              <w:spacing w:after="100" w:afterAutospacing="1"/>
              <w:rPr>
                <w:rFonts w:eastAsia="Calibri"/>
                <w:color w:val="0D0D0D"/>
                <w:sz w:val="20"/>
                <w:lang w:val="fr-BE"/>
              </w:rPr>
            </w:pPr>
          </w:p>
        </w:tc>
        <w:tc>
          <w:tcPr>
            <w:tcW w:w="526" w:type="pct"/>
            <w:shd w:val="clear" w:color="auto" w:fill="FFFFFF"/>
            <w:vAlign w:val="center"/>
          </w:tcPr>
          <w:p w14:paraId="7AA418EC" w14:textId="77777777" w:rsidR="005B22BD" w:rsidRPr="005B22BD" w:rsidRDefault="005B22BD" w:rsidP="005B22BD">
            <w:pPr>
              <w:widowControl/>
              <w:autoSpaceDE/>
              <w:autoSpaceDN/>
              <w:spacing w:after="100" w:afterAutospacing="1" w:line="259" w:lineRule="auto"/>
              <w:rPr>
                <w:rFonts w:eastAsia="Calibri"/>
                <w:color w:val="0D0D0D"/>
                <w:sz w:val="20"/>
                <w:lang w:val="fr-BE"/>
              </w:rPr>
            </w:pPr>
            <w:r w:rsidRPr="005B22BD">
              <w:rPr>
                <w:rFonts w:eastAsia="Calibri"/>
                <w:color w:val="0D0D0D"/>
                <w:sz w:val="20"/>
                <w:lang w:val="fr-BE"/>
              </w:rPr>
              <w:t>3.1 Amélioration (2025)</w:t>
            </w:r>
          </w:p>
          <w:p w14:paraId="045D1651"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3.2 Amélioration de la présence des partis politiques qui n’ont pas couverts toutes les provinces et collines lors des élections de 2020 (2027)</w:t>
            </w:r>
          </w:p>
          <w:p w14:paraId="022DC938"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3.3 À définir</w:t>
            </w:r>
          </w:p>
          <w:p w14:paraId="318D07C4" w14:textId="77777777" w:rsidR="005B22BD" w:rsidRPr="005B22BD" w:rsidRDefault="005B22BD" w:rsidP="005B22BD">
            <w:pPr>
              <w:widowControl/>
              <w:autoSpaceDE/>
              <w:autoSpaceDN/>
              <w:spacing w:after="100" w:afterAutospacing="1"/>
              <w:rPr>
                <w:rFonts w:eastAsia="Calibri"/>
                <w:color w:val="0D0D0D"/>
                <w:sz w:val="20"/>
                <w:lang w:val="fr-BE"/>
              </w:rPr>
            </w:pPr>
          </w:p>
          <w:p w14:paraId="0A6FBA4F" w14:textId="77777777" w:rsidR="005B22BD" w:rsidRPr="005B22BD" w:rsidRDefault="005B22BD" w:rsidP="005B22BD">
            <w:pPr>
              <w:widowControl/>
              <w:autoSpaceDE/>
              <w:autoSpaceDN/>
              <w:spacing w:after="100" w:afterAutospacing="1"/>
              <w:rPr>
                <w:rFonts w:eastAsia="Calibri"/>
                <w:color w:val="0D0D0D"/>
                <w:sz w:val="20"/>
                <w:lang w:val="fr-BE"/>
              </w:rPr>
            </w:pPr>
          </w:p>
          <w:p w14:paraId="7B4B137B" w14:textId="77777777" w:rsidR="005B22BD" w:rsidRPr="005B22BD" w:rsidRDefault="005B22BD" w:rsidP="005B22BD">
            <w:pPr>
              <w:widowControl/>
              <w:autoSpaceDE/>
              <w:autoSpaceDN/>
              <w:spacing w:after="100" w:afterAutospacing="1"/>
              <w:rPr>
                <w:rFonts w:eastAsia="Calibri"/>
                <w:color w:val="0D0D0D"/>
                <w:sz w:val="20"/>
                <w:lang w:val="fr-BE"/>
              </w:rPr>
            </w:pPr>
          </w:p>
          <w:p w14:paraId="0A374B06" w14:textId="77777777" w:rsidR="005B22BD" w:rsidRPr="005B22BD" w:rsidRDefault="005B22BD" w:rsidP="005B22BD">
            <w:pPr>
              <w:widowControl/>
              <w:autoSpaceDE/>
              <w:autoSpaceDN/>
              <w:spacing w:after="100" w:afterAutospacing="1"/>
              <w:rPr>
                <w:rFonts w:eastAsia="Calibri"/>
                <w:color w:val="0D0D0D"/>
                <w:sz w:val="20"/>
                <w:lang w:val="fr-BE"/>
              </w:rPr>
            </w:pPr>
          </w:p>
          <w:p w14:paraId="0645EA0B" w14:textId="77777777" w:rsidR="005B22BD" w:rsidRPr="005B22BD" w:rsidRDefault="005B22BD" w:rsidP="005B22BD">
            <w:pPr>
              <w:widowControl/>
              <w:autoSpaceDE/>
              <w:autoSpaceDN/>
              <w:spacing w:after="100" w:afterAutospacing="1"/>
              <w:rPr>
                <w:rFonts w:eastAsia="Calibri"/>
                <w:color w:val="0D0D0D"/>
                <w:sz w:val="20"/>
                <w:lang w:val="fr-BE"/>
              </w:rPr>
            </w:pPr>
          </w:p>
          <w:p w14:paraId="433058B3" w14:textId="77777777" w:rsidR="005B22BD" w:rsidRPr="005B22BD" w:rsidRDefault="005B22BD" w:rsidP="005B22BD">
            <w:pPr>
              <w:widowControl/>
              <w:autoSpaceDE/>
              <w:autoSpaceDN/>
              <w:spacing w:after="100" w:afterAutospacing="1"/>
              <w:rPr>
                <w:rFonts w:eastAsia="Calibri"/>
                <w:color w:val="0D0D0D"/>
                <w:sz w:val="20"/>
                <w:lang w:val="fr-BE"/>
              </w:rPr>
            </w:pPr>
          </w:p>
          <w:p w14:paraId="30C7A76A" w14:textId="77777777" w:rsidR="005B22BD" w:rsidRPr="005B22BD" w:rsidRDefault="005B22BD" w:rsidP="005B22BD">
            <w:pPr>
              <w:widowControl/>
              <w:autoSpaceDE/>
              <w:autoSpaceDN/>
              <w:spacing w:after="100" w:afterAutospacing="1"/>
              <w:rPr>
                <w:rFonts w:eastAsia="Calibri"/>
                <w:color w:val="0D0D0D"/>
                <w:sz w:val="20"/>
                <w:lang w:val="fr-BE"/>
              </w:rPr>
            </w:pPr>
          </w:p>
          <w:p w14:paraId="766E65E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3.4 20 (2025)</w:t>
            </w:r>
          </w:p>
        </w:tc>
        <w:tc>
          <w:tcPr>
            <w:tcW w:w="610" w:type="pct"/>
            <w:shd w:val="clear" w:color="auto" w:fill="FFFFFF"/>
            <w:vAlign w:val="center"/>
          </w:tcPr>
          <w:p w14:paraId="0448F57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3.1, 3.2, 3.3, 3.4 </w:t>
            </w:r>
            <w:r w:rsidRPr="005B22BD">
              <w:rPr>
                <w:rFonts w:eastAsia="Calibri"/>
                <w:lang w:val="fr-BE"/>
              </w:rPr>
              <w:t xml:space="preserve"> </w:t>
            </w:r>
            <w:r w:rsidRPr="005B22BD">
              <w:rPr>
                <w:rFonts w:eastAsia="Calibri"/>
                <w:color w:val="0D0D0D"/>
                <w:sz w:val="20"/>
                <w:lang w:val="fr-BE"/>
              </w:rPr>
              <w:t xml:space="preserve">Rapports de l’action et rapports des </w:t>
            </w:r>
            <w:proofErr w:type="spellStart"/>
            <w:r w:rsidRPr="005B22BD">
              <w:rPr>
                <w:rFonts w:eastAsia="Calibri"/>
                <w:color w:val="0D0D0D"/>
                <w:sz w:val="20"/>
                <w:lang w:val="fr-BE"/>
              </w:rPr>
              <w:t>OSC</w:t>
            </w:r>
            <w:proofErr w:type="spellEnd"/>
          </w:p>
        </w:tc>
        <w:tc>
          <w:tcPr>
            <w:tcW w:w="582" w:type="pct"/>
            <w:shd w:val="clear" w:color="auto" w:fill="auto"/>
            <w:vAlign w:val="center"/>
          </w:tcPr>
          <w:p w14:paraId="7DFD8AE7"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Soutien du Ministère de l’intérieur aux activités du programme</w:t>
            </w:r>
          </w:p>
          <w:p w14:paraId="02C6B45C" w14:textId="77777777" w:rsidR="005B22BD" w:rsidRPr="005B22BD" w:rsidRDefault="005B22BD" w:rsidP="005B22BD">
            <w:pPr>
              <w:widowControl/>
              <w:adjustRightInd w:val="0"/>
              <w:spacing w:after="100" w:afterAutospacing="1"/>
              <w:rPr>
                <w:rFonts w:eastAsia="Calibri"/>
                <w:color w:val="0D0D0D"/>
                <w:sz w:val="20"/>
                <w:highlight w:val="yellow"/>
                <w:lang w:val="fr-BE"/>
              </w:rPr>
            </w:pPr>
            <w:r w:rsidRPr="005B22BD">
              <w:rPr>
                <w:rFonts w:eastAsia="Calibri"/>
                <w:color w:val="0D0D0D"/>
                <w:sz w:val="20"/>
                <w:lang w:val="fr-BE"/>
              </w:rPr>
              <w:t>Proactivité des partis politiques/candidats indépendants dans les activités de surveillances électorale</w:t>
            </w:r>
          </w:p>
        </w:tc>
      </w:tr>
      <w:tr w:rsidR="005B22BD" w:rsidRPr="005B22BD" w14:paraId="24F3E6EF" w14:textId="77777777" w:rsidTr="005B22BD">
        <w:trPr>
          <w:trHeight w:val="418"/>
          <w:tblHeader/>
        </w:trPr>
        <w:tc>
          <w:tcPr>
            <w:tcW w:w="711" w:type="pct"/>
            <w:shd w:val="clear" w:color="auto" w:fill="D9D9D9"/>
            <w:vAlign w:val="center"/>
          </w:tcPr>
          <w:p w14:paraId="10B01720"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 xml:space="preserve">Effet 4 </w:t>
            </w:r>
          </w:p>
        </w:tc>
        <w:tc>
          <w:tcPr>
            <w:tcW w:w="1051" w:type="pct"/>
            <w:shd w:val="clear" w:color="auto" w:fill="auto"/>
            <w:vAlign w:val="center"/>
          </w:tcPr>
          <w:p w14:paraId="4E73EF28" w14:textId="77777777" w:rsidR="005B22BD" w:rsidRPr="005B22BD" w:rsidRDefault="005B22BD" w:rsidP="005B22BD">
            <w:pPr>
              <w:widowControl/>
              <w:autoSpaceDE/>
              <w:autoSpaceDN/>
              <w:spacing w:after="160" w:line="259" w:lineRule="auto"/>
              <w:jc w:val="both"/>
              <w:rPr>
                <w:rFonts w:eastAsia="Calibri"/>
                <w:color w:val="0D0D0D"/>
                <w:sz w:val="20"/>
                <w:lang w:val="fr-BE"/>
              </w:rPr>
            </w:pPr>
            <w:r w:rsidRPr="005B22BD">
              <w:rPr>
                <w:rFonts w:eastAsia="Calibri"/>
                <w:color w:val="0D0D0D"/>
                <w:sz w:val="20"/>
                <w:lang w:val="fr-BE"/>
              </w:rPr>
              <w:t>4. Renforcer les capacités des médias pour assurer une couverture équilibrée et impartiale des élections et une participation équitable au processus électoral de tous les candidats et partis politiques.</w:t>
            </w:r>
          </w:p>
          <w:p w14:paraId="50AAA4C7" w14:textId="77777777" w:rsidR="005B22BD" w:rsidRPr="005B22BD" w:rsidRDefault="005B22BD" w:rsidP="005B22BD">
            <w:pPr>
              <w:widowControl/>
              <w:adjustRightInd w:val="0"/>
              <w:spacing w:after="100" w:afterAutospacing="1"/>
              <w:jc w:val="both"/>
              <w:rPr>
                <w:rFonts w:eastAsia="Calibri"/>
                <w:color w:val="0D0D0D"/>
                <w:sz w:val="20"/>
                <w:lang w:val="fr-BE"/>
              </w:rPr>
            </w:pPr>
          </w:p>
        </w:tc>
        <w:tc>
          <w:tcPr>
            <w:tcW w:w="1066" w:type="pct"/>
            <w:shd w:val="clear" w:color="auto" w:fill="FFFFFF"/>
            <w:vAlign w:val="center"/>
          </w:tcPr>
          <w:p w14:paraId="3D803891"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4.1 </w:t>
            </w:r>
            <w:r w:rsidRPr="005B22BD">
              <w:rPr>
                <w:rFonts w:eastAsia="Calibri"/>
                <w:lang w:val="fr-BE"/>
              </w:rPr>
              <w:t xml:space="preserve"> </w:t>
            </w:r>
            <w:r w:rsidRPr="005B22BD">
              <w:rPr>
                <w:rFonts w:eastAsia="Calibri"/>
                <w:color w:val="0D0D0D"/>
                <w:sz w:val="20"/>
                <w:lang w:val="fr-BE"/>
              </w:rPr>
              <w:t>Nombre de journalistes, ventilé par sexe, âge, appuyés par l’action à couvrir des sujets de gouvernance de manière professionnelle et éthique.</w:t>
            </w:r>
          </w:p>
        </w:tc>
        <w:tc>
          <w:tcPr>
            <w:tcW w:w="453" w:type="pct"/>
            <w:shd w:val="clear" w:color="auto" w:fill="FFFFFF"/>
            <w:vAlign w:val="center"/>
          </w:tcPr>
          <w:p w14:paraId="7B06D715"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4.1 0 (2022)</w:t>
            </w:r>
          </w:p>
        </w:tc>
        <w:tc>
          <w:tcPr>
            <w:tcW w:w="526" w:type="pct"/>
            <w:shd w:val="clear" w:color="auto" w:fill="FFFFFF"/>
            <w:vAlign w:val="center"/>
          </w:tcPr>
          <w:p w14:paraId="50763A9D" w14:textId="77777777" w:rsidR="005B22BD" w:rsidRPr="005B22BD" w:rsidRDefault="005B22BD" w:rsidP="005B22BD">
            <w:pPr>
              <w:widowControl/>
              <w:autoSpaceDE/>
              <w:autoSpaceDN/>
              <w:spacing w:after="100" w:afterAutospacing="1" w:line="259" w:lineRule="auto"/>
              <w:rPr>
                <w:rFonts w:eastAsia="Calibri"/>
                <w:color w:val="0D0D0D"/>
                <w:sz w:val="20"/>
                <w:lang w:val="fr-BE"/>
              </w:rPr>
            </w:pPr>
            <w:r w:rsidRPr="005B22BD">
              <w:rPr>
                <w:rFonts w:eastAsia="Calibri"/>
                <w:color w:val="0D0D0D"/>
                <w:sz w:val="20"/>
                <w:lang w:val="fr-BE"/>
              </w:rPr>
              <w:t>4.1 30 (2025)</w:t>
            </w:r>
          </w:p>
        </w:tc>
        <w:tc>
          <w:tcPr>
            <w:tcW w:w="610" w:type="pct"/>
            <w:shd w:val="clear" w:color="auto" w:fill="FFFFFF"/>
            <w:vAlign w:val="center"/>
          </w:tcPr>
          <w:p w14:paraId="62B367C8"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4.1 Rapports de l’action</w:t>
            </w:r>
          </w:p>
        </w:tc>
        <w:tc>
          <w:tcPr>
            <w:tcW w:w="582" w:type="pct"/>
            <w:shd w:val="clear" w:color="auto" w:fill="auto"/>
            <w:vAlign w:val="center"/>
          </w:tcPr>
          <w:p w14:paraId="17A16031"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Les autorités burundaises n’empêchent les activités de médias dans la couverture du scrutin électoral</w:t>
            </w:r>
          </w:p>
        </w:tc>
      </w:tr>
      <w:tr w:rsidR="005B22BD" w:rsidRPr="005B22BD" w14:paraId="4DB9CFE2" w14:textId="77777777" w:rsidTr="005B22BD">
        <w:trPr>
          <w:trHeight w:val="398"/>
          <w:tblHeader/>
        </w:trPr>
        <w:tc>
          <w:tcPr>
            <w:tcW w:w="711" w:type="pct"/>
            <w:shd w:val="clear" w:color="auto" w:fill="D9D9D9"/>
            <w:vAlign w:val="center"/>
          </w:tcPr>
          <w:p w14:paraId="3BEF1BF7"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 xml:space="preserve">Produit 1 </w:t>
            </w:r>
          </w:p>
          <w:p w14:paraId="5F10B4F6"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lié à l’effet direct 1</w:t>
            </w:r>
          </w:p>
        </w:tc>
        <w:tc>
          <w:tcPr>
            <w:tcW w:w="1051" w:type="pct"/>
            <w:shd w:val="clear" w:color="auto" w:fill="auto"/>
            <w:vAlign w:val="center"/>
          </w:tcPr>
          <w:p w14:paraId="1EFB203B"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1.1 </w:t>
            </w:r>
            <w:r w:rsidRPr="005B22BD">
              <w:rPr>
                <w:rFonts w:eastAsia="Calibri"/>
                <w:lang w:val="fr-BE"/>
              </w:rPr>
              <w:t xml:space="preserve">  </w:t>
            </w:r>
            <w:r w:rsidRPr="005B22BD">
              <w:rPr>
                <w:rFonts w:eastAsia="Calibri"/>
                <w:color w:val="0D0D0D"/>
                <w:sz w:val="20"/>
                <w:lang w:val="fr-BE"/>
              </w:rPr>
              <w:t xml:space="preserve">Les </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et en particulier les organisations des femmes et des jeunes ainsi que des personnes vivant avec handicap et des déplacés internes (IDP) et retournés, sont renforcées pour leur participation active aux processus démocratiques et politiques.</w:t>
            </w:r>
          </w:p>
        </w:tc>
        <w:tc>
          <w:tcPr>
            <w:tcW w:w="1066" w:type="pct"/>
            <w:shd w:val="clear" w:color="auto" w:fill="FFFFFF"/>
            <w:vAlign w:val="center"/>
          </w:tcPr>
          <w:p w14:paraId="23102943"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1.1.1 Nombre d’acteurs de la société civile formés et ayant acquis de nouvelles compétences avec l’appui de l’UE (désagrégé par genre, âge, province). </w:t>
            </w:r>
          </w:p>
          <w:p w14:paraId="3E0BC129"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1.1.2 Nombre d’</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appuyées par l’action pour produire, publier et disséminer les outils et supports d’éducation civique et électorale. </w:t>
            </w:r>
          </w:p>
          <w:p w14:paraId="63FE293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1.1.3</w:t>
            </w:r>
            <w:r w:rsidRPr="005B22BD">
              <w:rPr>
                <w:rFonts w:eastAsia="Calibri"/>
                <w:lang w:val="fr-BE"/>
              </w:rPr>
              <w:t xml:space="preserve"> </w:t>
            </w:r>
            <w:r w:rsidRPr="005B22BD">
              <w:rPr>
                <w:rFonts w:eastAsia="Calibri"/>
                <w:color w:val="0D0D0D"/>
                <w:sz w:val="20"/>
                <w:lang w:val="fr-BE"/>
              </w:rPr>
              <w:t xml:space="preserve">Nombre de rapports d’observation nationale du processus électoral de qualité et cohérents méthodologiquement réalisés avec l'appui de l’UE. </w:t>
            </w:r>
          </w:p>
          <w:p w14:paraId="288035B1"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1.1.4  </w:t>
            </w:r>
            <w:r w:rsidRPr="005B22BD">
              <w:rPr>
                <w:rFonts w:eastAsia="Calibri"/>
                <w:lang w:val="fr-BE"/>
              </w:rPr>
              <w:t xml:space="preserve"> </w:t>
            </w:r>
            <w:r w:rsidRPr="005B22BD">
              <w:rPr>
                <w:rFonts w:eastAsia="Calibri"/>
                <w:color w:val="0D0D0D"/>
                <w:sz w:val="20"/>
                <w:lang w:val="fr-BE"/>
              </w:rPr>
              <w:t>Nombre d’activités de sensibilisation organisées et de supports de sensibilisation réalisé  avec le soutien de l’UE et visant spécifiquement les femmes, les jeunes, les personnes vivant avec un handicap et les déplacés internes (IDP) et retournés et nombre de participants (HF et âges)</w:t>
            </w:r>
          </w:p>
        </w:tc>
        <w:tc>
          <w:tcPr>
            <w:tcW w:w="453" w:type="pct"/>
            <w:shd w:val="clear" w:color="auto" w:fill="FFFFFF"/>
            <w:vAlign w:val="center"/>
          </w:tcPr>
          <w:p w14:paraId="599893CD" w14:textId="77777777" w:rsidR="005B22BD" w:rsidRPr="005B22BD" w:rsidRDefault="005B22BD" w:rsidP="005B22BD">
            <w:pPr>
              <w:widowControl/>
              <w:autoSpaceDE/>
              <w:autoSpaceDN/>
              <w:spacing w:after="100" w:afterAutospacing="1"/>
              <w:contextualSpacing/>
              <w:rPr>
                <w:rFonts w:eastAsia="Calibri"/>
                <w:color w:val="0D0D0D"/>
                <w:sz w:val="20"/>
                <w:lang w:val="fr-BE"/>
              </w:rPr>
            </w:pPr>
            <w:r w:rsidRPr="005B22BD">
              <w:rPr>
                <w:rFonts w:eastAsia="Calibri"/>
                <w:color w:val="0D0D0D"/>
                <w:sz w:val="20"/>
                <w:lang w:val="fr-BE"/>
              </w:rPr>
              <w:t>1.1.1 0 (2022)</w:t>
            </w:r>
          </w:p>
          <w:p w14:paraId="4D6B0AC5"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1.1.2 0 (2022)</w:t>
            </w:r>
          </w:p>
          <w:p w14:paraId="1E89059B"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1.1.3 0 (2022)</w:t>
            </w:r>
          </w:p>
          <w:p w14:paraId="09A8BD3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1.1.4</w:t>
            </w:r>
            <w:r w:rsidRPr="005B22BD">
              <w:rPr>
                <w:rFonts w:eastAsia="Calibri"/>
                <w:lang w:val="en-GB"/>
              </w:rPr>
              <w:t xml:space="preserve"> </w:t>
            </w:r>
            <w:r w:rsidRPr="005B22BD">
              <w:rPr>
                <w:rFonts w:eastAsia="Calibri"/>
                <w:color w:val="0D0D0D"/>
                <w:sz w:val="20"/>
                <w:lang w:val="fr-BE"/>
              </w:rPr>
              <w:t>À définir</w:t>
            </w:r>
          </w:p>
        </w:tc>
        <w:tc>
          <w:tcPr>
            <w:tcW w:w="526" w:type="pct"/>
            <w:shd w:val="clear" w:color="auto" w:fill="FFFFFF"/>
            <w:vAlign w:val="center"/>
          </w:tcPr>
          <w:p w14:paraId="296F9969"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1.1.1 À définir</w:t>
            </w:r>
          </w:p>
          <w:p w14:paraId="395D0DFD"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1.1.2 20 (2025)</w:t>
            </w:r>
          </w:p>
          <w:p w14:paraId="41EE6945"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1.1.3 20 (2025)</w:t>
            </w:r>
          </w:p>
          <w:p w14:paraId="7249450B"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1.1.4  </w:t>
            </w:r>
            <w:r w:rsidRPr="005B22BD">
              <w:rPr>
                <w:rFonts w:eastAsia="Calibri"/>
                <w:lang w:val="en-GB"/>
              </w:rPr>
              <w:t xml:space="preserve"> </w:t>
            </w:r>
            <w:r w:rsidRPr="005B22BD">
              <w:rPr>
                <w:rFonts w:eastAsia="Calibri"/>
                <w:color w:val="0D0D0D"/>
                <w:sz w:val="20"/>
                <w:lang w:val="fr-BE"/>
              </w:rPr>
              <w:t>À définir</w:t>
            </w:r>
          </w:p>
        </w:tc>
        <w:tc>
          <w:tcPr>
            <w:tcW w:w="610" w:type="pct"/>
            <w:shd w:val="clear" w:color="auto" w:fill="FFFFFF"/>
            <w:vAlign w:val="center"/>
          </w:tcPr>
          <w:p w14:paraId="7FEAB40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1.1.1</w:t>
            </w:r>
            <w:r w:rsidRPr="005B22BD">
              <w:rPr>
                <w:rFonts w:eastAsia="Calibri"/>
                <w:lang w:val="fr-BE"/>
              </w:rPr>
              <w:t xml:space="preserve"> </w:t>
            </w:r>
            <w:r w:rsidRPr="005B22BD">
              <w:rPr>
                <w:rFonts w:eastAsia="Calibri"/>
                <w:color w:val="0D0D0D"/>
                <w:sz w:val="20"/>
                <w:lang w:val="fr-BE"/>
              </w:rPr>
              <w:t>Rapports de l’action</w:t>
            </w:r>
          </w:p>
          <w:p w14:paraId="6A0A36B4" w14:textId="77777777" w:rsidR="005B22BD" w:rsidRPr="005B22BD" w:rsidRDefault="005B22BD" w:rsidP="005B22BD">
            <w:pPr>
              <w:widowControl/>
              <w:autoSpaceDE/>
              <w:autoSpaceDN/>
              <w:spacing w:after="100" w:afterAutospacing="1"/>
              <w:rPr>
                <w:rFonts w:eastAsia="Calibri"/>
                <w:color w:val="0D0D0D"/>
                <w:sz w:val="20"/>
                <w:lang w:val="fr-BE"/>
              </w:rPr>
            </w:pPr>
            <w:proofErr w:type="gramStart"/>
            <w:r w:rsidRPr="005B22BD">
              <w:rPr>
                <w:rFonts w:eastAsia="Calibri"/>
                <w:color w:val="0D0D0D"/>
                <w:sz w:val="20"/>
                <w:lang w:val="fr-BE"/>
              </w:rPr>
              <w:t xml:space="preserve">1.1.2 </w:t>
            </w:r>
            <w:r w:rsidRPr="005B22BD">
              <w:rPr>
                <w:rFonts w:eastAsia="Calibri"/>
                <w:lang w:val="fr-BE"/>
              </w:rPr>
              <w:t xml:space="preserve"> </w:t>
            </w:r>
            <w:r w:rsidRPr="005B22BD">
              <w:rPr>
                <w:rFonts w:eastAsia="Calibri"/>
                <w:color w:val="0D0D0D"/>
                <w:sz w:val="20"/>
                <w:lang w:val="fr-BE"/>
              </w:rPr>
              <w:t>Rapports</w:t>
            </w:r>
            <w:proofErr w:type="gramEnd"/>
            <w:r w:rsidRPr="005B22BD">
              <w:rPr>
                <w:rFonts w:eastAsia="Calibri"/>
                <w:color w:val="0D0D0D"/>
                <w:sz w:val="20"/>
                <w:lang w:val="fr-BE"/>
              </w:rPr>
              <w:t xml:space="preserve"> de l’action  </w:t>
            </w:r>
          </w:p>
          <w:p w14:paraId="24E18B75"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1.1.3 Rapports de l’action, Rapports des </w:t>
            </w:r>
            <w:proofErr w:type="spellStart"/>
            <w:r w:rsidRPr="005B22BD">
              <w:rPr>
                <w:rFonts w:eastAsia="Calibri"/>
                <w:color w:val="0D0D0D"/>
                <w:sz w:val="20"/>
                <w:lang w:val="fr-BE"/>
              </w:rPr>
              <w:t>OSC</w:t>
            </w:r>
            <w:proofErr w:type="spellEnd"/>
          </w:p>
          <w:p w14:paraId="7BAFC8D7" w14:textId="77777777" w:rsidR="005B22BD" w:rsidRPr="005B22BD" w:rsidRDefault="005B22BD" w:rsidP="005B22BD">
            <w:pPr>
              <w:widowControl/>
              <w:autoSpaceDE/>
              <w:autoSpaceDN/>
              <w:spacing w:after="100" w:afterAutospacing="1"/>
              <w:rPr>
                <w:rFonts w:eastAsia="Calibri"/>
                <w:color w:val="0D0D0D"/>
                <w:sz w:val="20"/>
                <w:highlight w:val="yellow"/>
                <w:lang w:val="fr-BE"/>
              </w:rPr>
            </w:pPr>
            <w:r w:rsidRPr="005B22BD">
              <w:rPr>
                <w:rFonts w:eastAsia="Calibri"/>
                <w:color w:val="0D0D0D"/>
                <w:sz w:val="20"/>
                <w:lang w:val="fr-BE"/>
              </w:rPr>
              <w:t xml:space="preserve">1.1.4 </w:t>
            </w:r>
            <w:r w:rsidRPr="005B22BD">
              <w:rPr>
                <w:rFonts w:eastAsia="Calibri"/>
                <w:lang w:val="fr-BE"/>
              </w:rPr>
              <w:t xml:space="preserve"> </w:t>
            </w:r>
            <w:r w:rsidRPr="005B22BD">
              <w:rPr>
                <w:rFonts w:eastAsia="Calibri"/>
                <w:color w:val="0D0D0D"/>
                <w:sz w:val="20"/>
                <w:lang w:val="fr-BE"/>
              </w:rPr>
              <w:t xml:space="preserve">Rapports de l’action </w:t>
            </w:r>
          </w:p>
        </w:tc>
        <w:tc>
          <w:tcPr>
            <w:tcW w:w="582" w:type="pct"/>
            <w:shd w:val="clear" w:color="auto" w:fill="auto"/>
            <w:vAlign w:val="center"/>
          </w:tcPr>
          <w:p w14:paraId="21B8C8EF"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Volonté de la société civile de s’impliquer dans des activités d’éducation civique et électorale.</w:t>
            </w:r>
          </w:p>
          <w:p w14:paraId="490130CC" w14:textId="77777777" w:rsidR="005B22BD" w:rsidRPr="005B22BD" w:rsidRDefault="005B22BD" w:rsidP="005B22BD">
            <w:pPr>
              <w:widowControl/>
              <w:adjustRightInd w:val="0"/>
              <w:spacing w:after="100" w:afterAutospacing="1"/>
              <w:rPr>
                <w:rFonts w:eastAsia="Calibri"/>
                <w:color w:val="0D0D0D"/>
                <w:sz w:val="20"/>
                <w:highlight w:val="yellow"/>
                <w:lang w:val="fr-BE"/>
              </w:rPr>
            </w:pPr>
            <w:r w:rsidRPr="005B22BD">
              <w:rPr>
                <w:rFonts w:eastAsia="Calibri"/>
                <w:color w:val="0D0D0D"/>
                <w:sz w:val="20"/>
                <w:lang w:val="fr-BE"/>
              </w:rPr>
              <w:t>Ouverture au dialogue effectif entre les autorités et la société civile sur les sujets concernant la gouvernance (locale et nationale)</w:t>
            </w:r>
          </w:p>
        </w:tc>
      </w:tr>
      <w:tr w:rsidR="005B22BD" w:rsidRPr="005B22BD" w14:paraId="4A672C24" w14:textId="77777777" w:rsidTr="005B22BD">
        <w:trPr>
          <w:trHeight w:val="418"/>
          <w:tblHeader/>
        </w:trPr>
        <w:tc>
          <w:tcPr>
            <w:tcW w:w="711" w:type="pct"/>
            <w:shd w:val="clear" w:color="auto" w:fill="D9D9D9"/>
            <w:vAlign w:val="center"/>
          </w:tcPr>
          <w:p w14:paraId="6C68FFC5"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 xml:space="preserve">Produit 2 </w:t>
            </w:r>
          </w:p>
          <w:p w14:paraId="13290D46"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lié à l’effet direct 1</w:t>
            </w:r>
          </w:p>
        </w:tc>
        <w:tc>
          <w:tcPr>
            <w:tcW w:w="1051" w:type="pct"/>
            <w:shd w:val="clear" w:color="auto" w:fill="auto"/>
            <w:vAlign w:val="center"/>
          </w:tcPr>
          <w:p w14:paraId="28EEEEB4" w14:textId="77777777" w:rsidR="005B22BD" w:rsidRPr="005B22BD" w:rsidRDefault="005B22BD" w:rsidP="005B22BD">
            <w:pPr>
              <w:widowControl/>
              <w:autoSpaceDE/>
              <w:autoSpaceDN/>
              <w:spacing w:after="160" w:line="259" w:lineRule="auto"/>
              <w:jc w:val="both"/>
              <w:rPr>
                <w:rFonts w:eastAsia="Calibri"/>
                <w:color w:val="0D0D0D"/>
                <w:sz w:val="20"/>
                <w:lang w:val="fr-BE"/>
              </w:rPr>
            </w:pPr>
            <w:r w:rsidRPr="005B22BD">
              <w:rPr>
                <w:rFonts w:eastAsia="Calibri"/>
                <w:color w:val="0D0D0D"/>
                <w:sz w:val="20"/>
                <w:lang w:val="fr-BE"/>
              </w:rPr>
              <w:t xml:space="preserve">1.2 </w:t>
            </w:r>
            <w:r w:rsidRPr="005B22BD">
              <w:rPr>
                <w:rFonts w:eastAsia="Calibri"/>
                <w:lang w:val="fr-BE"/>
              </w:rPr>
              <w:t xml:space="preserve">   </w:t>
            </w:r>
            <w:r w:rsidRPr="005B22BD">
              <w:rPr>
                <w:rFonts w:eastAsia="Calibri"/>
                <w:color w:val="0D0D0D"/>
                <w:sz w:val="20"/>
                <w:lang w:val="fr-BE"/>
              </w:rPr>
              <w:t>La confiance de l’opinion publique burundaise dans les processus électoraux et démocratiques, y compris en contribuant à prévenir la fraude, est renforcée.</w:t>
            </w:r>
          </w:p>
          <w:p w14:paraId="714832AC" w14:textId="77777777" w:rsidR="005B22BD" w:rsidRPr="005B22BD" w:rsidRDefault="005B22BD" w:rsidP="005B22BD">
            <w:pPr>
              <w:widowControl/>
              <w:adjustRightInd w:val="0"/>
              <w:spacing w:after="100" w:afterAutospacing="1"/>
              <w:rPr>
                <w:rFonts w:eastAsia="Calibri"/>
                <w:color w:val="0D0D0D"/>
                <w:sz w:val="20"/>
                <w:lang w:val="fr-BE"/>
              </w:rPr>
            </w:pPr>
          </w:p>
        </w:tc>
        <w:tc>
          <w:tcPr>
            <w:tcW w:w="1066" w:type="pct"/>
            <w:shd w:val="clear" w:color="auto" w:fill="FFFFFF"/>
            <w:vAlign w:val="center"/>
          </w:tcPr>
          <w:p w14:paraId="79CCF508"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1.2.1 Nombre d’observateurs électoraux nationaux formés avec le soutien de l’UE, accrédités et qui ont libre accès à toutes les étapes du processus électoral (mise à jour du fichier électoral, campagne, vote, traitement des résultats, contentieux). </w:t>
            </w:r>
          </w:p>
          <w:p w14:paraId="46E11A2F"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1.2.2 Nombre des activités d’éducation civique et électorale organisées avec le soutien de l’UE. </w:t>
            </w:r>
          </w:p>
          <w:p w14:paraId="44B654AA"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1.2.3 Nombre des rapports produits et publiés par la société civile concernant le processus démocratique avec le soutien de l’UE. </w:t>
            </w:r>
          </w:p>
          <w:p w14:paraId="21DAE490"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1.2.4 </w:t>
            </w:r>
            <w:r w:rsidRPr="005B22BD">
              <w:rPr>
                <w:rFonts w:eastAsia="Calibri"/>
                <w:lang w:val="fr-BE"/>
              </w:rPr>
              <w:t xml:space="preserve"> </w:t>
            </w:r>
          </w:p>
        </w:tc>
        <w:tc>
          <w:tcPr>
            <w:tcW w:w="453" w:type="pct"/>
            <w:shd w:val="clear" w:color="auto" w:fill="FFFFFF"/>
            <w:vAlign w:val="center"/>
          </w:tcPr>
          <w:p w14:paraId="657F23E1"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1.2.1 3800 (2020)</w:t>
            </w:r>
          </w:p>
          <w:p w14:paraId="59905816"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1.2.2 0 (2022)</w:t>
            </w:r>
          </w:p>
          <w:p w14:paraId="11902CA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1.2.3 0</w:t>
            </w:r>
          </w:p>
          <w:p w14:paraId="630E6C71"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1.2.4</w:t>
            </w:r>
          </w:p>
          <w:p w14:paraId="3B63207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1.2.5 0 (2020)</w:t>
            </w:r>
          </w:p>
          <w:p w14:paraId="64E140E8" w14:textId="77777777" w:rsidR="005B22BD" w:rsidRPr="005B22BD" w:rsidRDefault="005B22BD" w:rsidP="005B22BD">
            <w:pPr>
              <w:widowControl/>
              <w:autoSpaceDE/>
              <w:autoSpaceDN/>
              <w:spacing w:after="100" w:afterAutospacing="1"/>
              <w:rPr>
                <w:rFonts w:eastAsia="Calibri"/>
                <w:color w:val="0D0D0D"/>
                <w:sz w:val="20"/>
                <w:lang w:val="fr-BE"/>
              </w:rPr>
            </w:pPr>
          </w:p>
          <w:p w14:paraId="3083EFA8" w14:textId="77777777" w:rsidR="005B22BD" w:rsidRPr="005B22BD" w:rsidRDefault="005B22BD" w:rsidP="005B22BD">
            <w:pPr>
              <w:widowControl/>
              <w:autoSpaceDE/>
              <w:autoSpaceDN/>
              <w:spacing w:after="100" w:afterAutospacing="1"/>
              <w:rPr>
                <w:rFonts w:eastAsia="Calibri"/>
                <w:color w:val="0D0D0D"/>
                <w:sz w:val="20"/>
                <w:lang w:val="fr-BE"/>
              </w:rPr>
            </w:pPr>
          </w:p>
        </w:tc>
        <w:tc>
          <w:tcPr>
            <w:tcW w:w="526" w:type="pct"/>
            <w:shd w:val="clear" w:color="auto" w:fill="FFFFFF"/>
            <w:vAlign w:val="center"/>
          </w:tcPr>
          <w:p w14:paraId="508DBEA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1.2.1</w:t>
            </w:r>
            <w:r w:rsidRPr="005B22BD">
              <w:rPr>
                <w:rFonts w:eastAsia="Calibri"/>
                <w:lang w:val="fr-BE"/>
              </w:rPr>
              <w:t xml:space="preserve"> </w:t>
            </w:r>
            <w:r w:rsidRPr="005B22BD">
              <w:rPr>
                <w:rFonts w:eastAsia="Calibri"/>
                <w:color w:val="0D0D0D"/>
                <w:sz w:val="20"/>
                <w:lang w:val="fr-BE"/>
              </w:rPr>
              <w:t xml:space="preserve">5000 (2025) </w:t>
            </w:r>
          </w:p>
          <w:p w14:paraId="68D8A0A0"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1.2.2 À définir</w:t>
            </w:r>
          </w:p>
          <w:p w14:paraId="599719A7" w14:textId="77777777" w:rsidR="005B22BD" w:rsidRPr="005B22BD" w:rsidRDefault="005B22BD" w:rsidP="005B22BD">
            <w:pPr>
              <w:widowControl/>
              <w:autoSpaceDE/>
              <w:autoSpaceDN/>
              <w:spacing w:after="100" w:afterAutospacing="1"/>
              <w:rPr>
                <w:rFonts w:eastAsia="Calibri"/>
                <w:color w:val="0D0D0D"/>
                <w:sz w:val="20"/>
                <w:lang w:val="fr-BE"/>
              </w:rPr>
            </w:pPr>
            <w:proofErr w:type="gramStart"/>
            <w:r w:rsidRPr="005B22BD">
              <w:rPr>
                <w:rFonts w:eastAsia="Calibri"/>
                <w:color w:val="0D0D0D"/>
                <w:sz w:val="20"/>
                <w:lang w:val="fr-BE"/>
              </w:rPr>
              <w:t xml:space="preserve">1.2.3 </w:t>
            </w:r>
            <w:r w:rsidRPr="005B22BD">
              <w:rPr>
                <w:rFonts w:eastAsia="Calibri"/>
                <w:lang w:val="fr-BE"/>
              </w:rPr>
              <w:t xml:space="preserve"> </w:t>
            </w:r>
            <w:r w:rsidRPr="005B22BD">
              <w:rPr>
                <w:rFonts w:eastAsia="Calibri"/>
                <w:color w:val="0D0D0D"/>
                <w:sz w:val="20"/>
                <w:lang w:val="fr-BE"/>
              </w:rPr>
              <w:t>10</w:t>
            </w:r>
            <w:proofErr w:type="gramEnd"/>
            <w:r w:rsidRPr="005B22BD">
              <w:rPr>
                <w:rFonts w:eastAsia="Calibri"/>
                <w:color w:val="0D0D0D"/>
                <w:sz w:val="20"/>
                <w:lang w:val="fr-BE"/>
              </w:rPr>
              <w:t xml:space="preserve"> (2025)</w:t>
            </w:r>
          </w:p>
          <w:p w14:paraId="14BFFB5B"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1.2.4</w:t>
            </w:r>
          </w:p>
          <w:p w14:paraId="241A83D0"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1.2.5 Amélioration (2025)</w:t>
            </w:r>
          </w:p>
          <w:p w14:paraId="283F8D6B" w14:textId="77777777" w:rsidR="005B22BD" w:rsidRPr="005B22BD" w:rsidRDefault="005B22BD" w:rsidP="005B22BD">
            <w:pPr>
              <w:widowControl/>
              <w:autoSpaceDE/>
              <w:autoSpaceDN/>
              <w:spacing w:after="100" w:afterAutospacing="1"/>
              <w:rPr>
                <w:rFonts w:eastAsia="Calibri"/>
                <w:color w:val="0D0D0D"/>
                <w:sz w:val="20"/>
                <w:lang w:val="fr-BE"/>
              </w:rPr>
            </w:pPr>
          </w:p>
        </w:tc>
        <w:tc>
          <w:tcPr>
            <w:tcW w:w="610" w:type="pct"/>
            <w:shd w:val="clear" w:color="auto" w:fill="FFFFFF"/>
            <w:vAlign w:val="center"/>
          </w:tcPr>
          <w:p w14:paraId="292106F5"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1.2.1 Rapports d'observation électorale </w:t>
            </w:r>
          </w:p>
          <w:p w14:paraId="7314AA9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1.2.2 Rapports d'observation électorale.</w:t>
            </w:r>
          </w:p>
          <w:p w14:paraId="7AE2190E"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1.2.3 Rapports de l’action </w:t>
            </w:r>
          </w:p>
          <w:p w14:paraId="4EE82DFD"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1.2.4 Rapports des </w:t>
            </w:r>
            <w:proofErr w:type="spellStart"/>
            <w:r w:rsidRPr="005B22BD">
              <w:rPr>
                <w:rFonts w:eastAsia="Calibri"/>
                <w:color w:val="0D0D0D"/>
                <w:sz w:val="20"/>
                <w:lang w:val="fr-BE"/>
              </w:rPr>
              <w:t>OSC</w:t>
            </w:r>
            <w:proofErr w:type="spellEnd"/>
          </w:p>
          <w:p w14:paraId="3C391F26"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1.2.5 Rapports de l’action </w:t>
            </w:r>
          </w:p>
          <w:p w14:paraId="766CBF48" w14:textId="77777777" w:rsidR="005B22BD" w:rsidRPr="005B22BD" w:rsidRDefault="005B22BD" w:rsidP="005B22BD">
            <w:pPr>
              <w:widowControl/>
              <w:autoSpaceDE/>
              <w:autoSpaceDN/>
              <w:spacing w:after="100" w:afterAutospacing="1"/>
              <w:rPr>
                <w:rFonts w:eastAsia="Calibri"/>
                <w:color w:val="0D0D0D"/>
                <w:sz w:val="20"/>
                <w:lang w:val="fr-BE"/>
              </w:rPr>
            </w:pPr>
          </w:p>
        </w:tc>
        <w:tc>
          <w:tcPr>
            <w:tcW w:w="582" w:type="pct"/>
            <w:shd w:val="clear" w:color="auto" w:fill="auto"/>
            <w:vAlign w:val="center"/>
          </w:tcPr>
          <w:p w14:paraId="44F31C20"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Possibilité pour la société civile de s’impliquer dans des activités d’observation électorale.</w:t>
            </w:r>
          </w:p>
          <w:p w14:paraId="3D8AD1EA"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Proactivité de la société civile dans les activités d’observation électorale.</w:t>
            </w:r>
          </w:p>
          <w:p w14:paraId="11A3D321" w14:textId="77777777" w:rsidR="005B22BD" w:rsidRPr="005B22BD" w:rsidRDefault="005B22BD" w:rsidP="005B22BD">
            <w:pPr>
              <w:widowControl/>
              <w:adjustRightInd w:val="0"/>
              <w:spacing w:after="100" w:afterAutospacing="1"/>
              <w:rPr>
                <w:rFonts w:eastAsia="Calibri"/>
                <w:color w:val="0D0D0D"/>
                <w:sz w:val="20"/>
                <w:lang w:val="fr-BE"/>
              </w:rPr>
            </w:pPr>
          </w:p>
          <w:p w14:paraId="54E759A7" w14:textId="77777777" w:rsidR="005B22BD" w:rsidRPr="005B22BD" w:rsidRDefault="005B22BD" w:rsidP="005B22BD">
            <w:pPr>
              <w:widowControl/>
              <w:adjustRightInd w:val="0"/>
              <w:spacing w:after="100" w:afterAutospacing="1"/>
              <w:rPr>
                <w:rFonts w:eastAsia="Calibri"/>
                <w:color w:val="0D0D0D"/>
                <w:sz w:val="20"/>
                <w:highlight w:val="yellow"/>
                <w:lang w:val="fr-BE"/>
              </w:rPr>
            </w:pPr>
          </w:p>
        </w:tc>
      </w:tr>
      <w:tr w:rsidR="005B22BD" w:rsidRPr="005B22BD" w14:paraId="5AC273AB" w14:textId="77777777" w:rsidTr="005B22BD">
        <w:trPr>
          <w:trHeight w:val="418"/>
          <w:tblHeader/>
        </w:trPr>
        <w:tc>
          <w:tcPr>
            <w:tcW w:w="711" w:type="pct"/>
            <w:shd w:val="clear" w:color="auto" w:fill="D9D9D9"/>
            <w:vAlign w:val="center"/>
          </w:tcPr>
          <w:p w14:paraId="73153E10"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 xml:space="preserve">Produit 3 </w:t>
            </w:r>
          </w:p>
          <w:p w14:paraId="10FAD59D"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lié à l’effet direct 1</w:t>
            </w:r>
          </w:p>
        </w:tc>
        <w:tc>
          <w:tcPr>
            <w:tcW w:w="1051" w:type="pct"/>
            <w:shd w:val="clear" w:color="auto" w:fill="auto"/>
            <w:vAlign w:val="center"/>
          </w:tcPr>
          <w:p w14:paraId="01E1ADCC" w14:textId="77777777" w:rsidR="005B22BD" w:rsidRPr="005B22BD" w:rsidRDefault="005B22BD" w:rsidP="005B22BD">
            <w:pPr>
              <w:widowControl/>
              <w:autoSpaceDE/>
              <w:autoSpaceDN/>
              <w:spacing w:after="160" w:line="259" w:lineRule="auto"/>
              <w:jc w:val="both"/>
              <w:rPr>
                <w:rFonts w:eastAsia="Calibri"/>
                <w:color w:val="0D0D0D"/>
                <w:sz w:val="20"/>
                <w:lang w:val="fr-BE"/>
              </w:rPr>
            </w:pPr>
            <w:r w:rsidRPr="005B22BD">
              <w:rPr>
                <w:rFonts w:eastAsia="Calibri"/>
                <w:color w:val="0D0D0D"/>
                <w:sz w:val="20"/>
                <w:lang w:val="fr-BE"/>
              </w:rPr>
              <w:t>1.3</w:t>
            </w:r>
            <w:r w:rsidRPr="005B22BD">
              <w:rPr>
                <w:rFonts w:eastAsia="Calibri"/>
                <w:color w:val="0D0D0D"/>
                <w:sz w:val="20"/>
                <w:lang w:val="fr-BE"/>
              </w:rPr>
              <w:tab/>
              <w:t>La prévention et la gestion des conflits électoraux est appuyée.</w:t>
            </w:r>
          </w:p>
        </w:tc>
        <w:tc>
          <w:tcPr>
            <w:tcW w:w="1066" w:type="pct"/>
            <w:shd w:val="clear" w:color="auto" w:fill="FFFFFF"/>
            <w:vAlign w:val="center"/>
          </w:tcPr>
          <w:p w14:paraId="49D522B5"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1.3 Nombre d’incidents, </w:t>
            </w:r>
            <w:proofErr w:type="spellStart"/>
            <w:r w:rsidRPr="005B22BD">
              <w:rPr>
                <w:rFonts w:eastAsia="Calibri"/>
                <w:color w:val="0D0D0D"/>
                <w:sz w:val="20"/>
                <w:lang w:val="fr-BE"/>
              </w:rPr>
              <w:t>VBG</w:t>
            </w:r>
            <w:proofErr w:type="spellEnd"/>
            <w:r w:rsidRPr="005B22BD">
              <w:rPr>
                <w:rFonts w:eastAsia="Calibri"/>
                <w:color w:val="0D0D0D"/>
                <w:sz w:val="20"/>
                <w:lang w:val="fr-BE"/>
              </w:rPr>
              <w:t xml:space="preserve"> rapportés par les observateurs lors des élections</w:t>
            </w:r>
          </w:p>
        </w:tc>
        <w:tc>
          <w:tcPr>
            <w:tcW w:w="453" w:type="pct"/>
            <w:shd w:val="clear" w:color="auto" w:fill="FFFFFF"/>
            <w:vAlign w:val="center"/>
          </w:tcPr>
          <w:p w14:paraId="10A14B0F"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1.3 À définir </w:t>
            </w:r>
          </w:p>
          <w:p w14:paraId="16C925A4"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(2020)</w:t>
            </w:r>
          </w:p>
        </w:tc>
        <w:tc>
          <w:tcPr>
            <w:tcW w:w="526" w:type="pct"/>
            <w:shd w:val="clear" w:color="auto" w:fill="FFFFFF"/>
            <w:vAlign w:val="center"/>
          </w:tcPr>
          <w:p w14:paraId="3DB5B7FB"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1.3 À définir (2025)</w:t>
            </w:r>
          </w:p>
        </w:tc>
        <w:tc>
          <w:tcPr>
            <w:tcW w:w="610" w:type="pct"/>
            <w:shd w:val="clear" w:color="auto" w:fill="FFFFFF"/>
            <w:vAlign w:val="center"/>
          </w:tcPr>
          <w:p w14:paraId="7F5FE2E2"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 xml:space="preserve">1.3 Rapports des </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et de l’action</w:t>
            </w:r>
          </w:p>
        </w:tc>
        <w:tc>
          <w:tcPr>
            <w:tcW w:w="582" w:type="pct"/>
            <w:shd w:val="clear" w:color="auto" w:fill="auto"/>
            <w:vAlign w:val="center"/>
          </w:tcPr>
          <w:p w14:paraId="1C8FFBFA"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Possibilité pour les partis politiques/candidats indépendants de s’impliquer dans des activités de surveillance électorale</w:t>
            </w:r>
          </w:p>
        </w:tc>
      </w:tr>
      <w:tr w:rsidR="005B22BD" w:rsidRPr="005B22BD" w14:paraId="028C1070" w14:textId="77777777" w:rsidTr="005B22BD">
        <w:trPr>
          <w:trHeight w:val="418"/>
          <w:tblHeader/>
        </w:trPr>
        <w:tc>
          <w:tcPr>
            <w:tcW w:w="711" w:type="pct"/>
            <w:shd w:val="clear" w:color="auto" w:fill="D9D9D9"/>
            <w:vAlign w:val="center"/>
          </w:tcPr>
          <w:p w14:paraId="70DC5CC1"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 xml:space="preserve">Produit 1 </w:t>
            </w:r>
          </w:p>
          <w:p w14:paraId="50DF5F0F" w14:textId="77777777" w:rsidR="005B22BD" w:rsidRPr="005B22BD" w:rsidRDefault="005B22BD" w:rsidP="005B22BD">
            <w:pPr>
              <w:widowControl/>
              <w:tabs>
                <w:tab w:val="left" w:pos="0"/>
                <w:tab w:val="left" w:pos="132"/>
              </w:tabs>
              <w:autoSpaceDE/>
              <w:autoSpaceDN/>
              <w:spacing w:after="100" w:afterAutospacing="1"/>
              <w:rPr>
                <w:rFonts w:eastAsia="Calibri"/>
                <w:b/>
                <w:color w:val="0D0D0D"/>
                <w:sz w:val="20"/>
                <w:lang w:val="fr-BE"/>
              </w:rPr>
            </w:pPr>
            <w:r w:rsidRPr="005B22BD">
              <w:rPr>
                <w:rFonts w:eastAsia="Calibri"/>
                <w:b/>
                <w:color w:val="0D0D0D"/>
                <w:sz w:val="20"/>
                <w:lang w:val="fr-BE"/>
              </w:rPr>
              <w:t>lié à l’effet direct 2</w:t>
            </w:r>
          </w:p>
        </w:tc>
        <w:tc>
          <w:tcPr>
            <w:tcW w:w="1051" w:type="pct"/>
            <w:shd w:val="clear" w:color="auto" w:fill="auto"/>
            <w:vAlign w:val="center"/>
          </w:tcPr>
          <w:p w14:paraId="244EA189"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2.1  Les capacités de la CENI sont renforcées dans le cadre d’une observation électorale honnête, indépendante, professionnalisée et continue tout le long du cycle électoral</w:t>
            </w:r>
            <w:r w:rsidRPr="005B22BD">
              <w:rPr>
                <w:rFonts w:eastAsia="Calibri"/>
                <w:lang w:val="fr-BE"/>
              </w:rPr>
              <w:t xml:space="preserve"> </w:t>
            </w:r>
          </w:p>
        </w:tc>
        <w:tc>
          <w:tcPr>
            <w:tcW w:w="1066" w:type="pct"/>
            <w:shd w:val="clear" w:color="auto" w:fill="FFFFFF"/>
            <w:vAlign w:val="center"/>
          </w:tcPr>
          <w:p w14:paraId="7797CB80"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2.1.1</w:t>
            </w:r>
            <w:r w:rsidRPr="005B22BD">
              <w:rPr>
                <w:rFonts w:eastAsia="Calibri"/>
                <w:lang w:val="fr-BE"/>
              </w:rPr>
              <w:t xml:space="preserve"> </w:t>
            </w:r>
            <w:r w:rsidRPr="005B22BD">
              <w:rPr>
                <w:rFonts w:eastAsia="Calibri"/>
                <w:color w:val="0D0D0D"/>
                <w:sz w:val="20"/>
                <w:lang w:val="fr-BE"/>
              </w:rPr>
              <w:t>Nombre de personnes au sein de la CENI ayant bénéficiées d’actions de renforcement de capacités et ayant acquis avec le soutien de l’UE de nouvelles compétences pour l’organisation d’élections (H/F)</w:t>
            </w:r>
          </w:p>
          <w:p w14:paraId="1566D953" w14:textId="77777777" w:rsidR="005B22BD" w:rsidRPr="005B22BD" w:rsidRDefault="005B22BD" w:rsidP="005B22BD">
            <w:pPr>
              <w:widowControl/>
              <w:adjustRightInd w:val="0"/>
              <w:spacing w:after="100" w:afterAutospacing="1"/>
              <w:rPr>
                <w:rFonts w:eastAsia="Calibri"/>
                <w:color w:val="0D0D0D"/>
                <w:sz w:val="20"/>
                <w:lang w:val="fr-BE"/>
              </w:rPr>
            </w:pPr>
            <w:r w:rsidRPr="005B22BD">
              <w:rPr>
                <w:rFonts w:eastAsia="Calibri"/>
                <w:color w:val="0D0D0D"/>
                <w:sz w:val="20"/>
                <w:lang w:val="fr-BE"/>
              </w:rPr>
              <w:t xml:space="preserve">2.1.2 </w:t>
            </w:r>
            <w:r w:rsidRPr="005B22BD">
              <w:rPr>
                <w:rFonts w:eastAsia="Calibri"/>
                <w:lang w:val="fr-BE"/>
              </w:rPr>
              <w:t xml:space="preserve"> </w:t>
            </w:r>
            <w:r w:rsidRPr="005B22BD">
              <w:rPr>
                <w:rFonts w:eastAsia="Calibri"/>
                <w:color w:val="0D0D0D"/>
                <w:sz w:val="20"/>
                <w:lang w:val="fr-BE"/>
              </w:rPr>
              <w:t>Statut du fichier des électeurs mis à jour et sécurisé avec le soutien de l’UE</w:t>
            </w:r>
          </w:p>
        </w:tc>
        <w:tc>
          <w:tcPr>
            <w:tcW w:w="453" w:type="pct"/>
            <w:shd w:val="clear" w:color="auto" w:fill="FFFFFF"/>
            <w:vAlign w:val="center"/>
          </w:tcPr>
          <w:p w14:paraId="25AC0751"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2.1.1 0 (2020)</w:t>
            </w:r>
          </w:p>
          <w:p w14:paraId="53A170D0"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2.1.2  À définir</w:t>
            </w:r>
          </w:p>
        </w:tc>
        <w:tc>
          <w:tcPr>
            <w:tcW w:w="526" w:type="pct"/>
            <w:shd w:val="clear" w:color="auto" w:fill="FFFFFF"/>
            <w:vAlign w:val="center"/>
          </w:tcPr>
          <w:p w14:paraId="7371B2DA"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2.1.1 À définir</w:t>
            </w:r>
          </w:p>
          <w:p w14:paraId="6BE7467C"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2.1.2 1  À définir</w:t>
            </w:r>
          </w:p>
        </w:tc>
        <w:tc>
          <w:tcPr>
            <w:tcW w:w="610" w:type="pct"/>
            <w:shd w:val="clear" w:color="auto" w:fill="FFFFFF"/>
            <w:vAlign w:val="center"/>
          </w:tcPr>
          <w:p w14:paraId="2287F577" w14:textId="77777777" w:rsidR="005B22BD" w:rsidRPr="005B22BD" w:rsidRDefault="005B22BD" w:rsidP="005B22BD">
            <w:pPr>
              <w:widowControl/>
              <w:autoSpaceDE/>
              <w:autoSpaceDN/>
              <w:spacing w:after="100" w:afterAutospacing="1"/>
              <w:rPr>
                <w:rFonts w:eastAsia="Calibri"/>
                <w:color w:val="0D0D0D"/>
                <w:sz w:val="20"/>
                <w:lang w:val="fr-BE"/>
              </w:rPr>
            </w:pPr>
            <w:r w:rsidRPr="005B22BD">
              <w:rPr>
                <w:rFonts w:eastAsia="Calibri"/>
                <w:color w:val="0D0D0D"/>
                <w:sz w:val="20"/>
                <w:lang w:val="fr-BE"/>
              </w:rPr>
              <w:t>2.1.1 Rapports de l’action</w:t>
            </w:r>
          </w:p>
          <w:p w14:paraId="54E097CB" w14:textId="77777777" w:rsidR="005B22BD" w:rsidRPr="005B22BD" w:rsidRDefault="005B22BD" w:rsidP="005B22BD">
            <w:pPr>
              <w:widowControl/>
              <w:autoSpaceDE/>
              <w:autoSpaceDN/>
              <w:spacing w:after="100" w:afterAutospacing="1"/>
              <w:rPr>
                <w:rFonts w:eastAsia="Calibri"/>
                <w:color w:val="0D0D0D"/>
                <w:sz w:val="20"/>
                <w:highlight w:val="yellow"/>
                <w:lang w:val="fr-BE"/>
              </w:rPr>
            </w:pPr>
            <w:r w:rsidRPr="005B22BD">
              <w:rPr>
                <w:rFonts w:eastAsia="Calibri"/>
                <w:color w:val="0D0D0D"/>
                <w:sz w:val="20"/>
                <w:lang w:val="fr-BE"/>
              </w:rPr>
              <w:t xml:space="preserve">2.1.2 </w:t>
            </w:r>
            <w:r w:rsidRPr="005B22BD">
              <w:rPr>
                <w:rFonts w:eastAsia="Calibri"/>
                <w:lang w:val="fr-BE"/>
              </w:rPr>
              <w:t xml:space="preserve"> </w:t>
            </w:r>
            <w:r w:rsidRPr="005B22BD">
              <w:rPr>
                <w:rFonts w:eastAsia="Calibri"/>
                <w:color w:val="0D0D0D"/>
                <w:sz w:val="20"/>
                <w:lang w:val="fr-BE"/>
              </w:rPr>
              <w:t>Rapports de l’action</w:t>
            </w:r>
          </w:p>
        </w:tc>
        <w:tc>
          <w:tcPr>
            <w:tcW w:w="582" w:type="pct"/>
            <w:shd w:val="clear" w:color="auto" w:fill="auto"/>
            <w:vAlign w:val="center"/>
          </w:tcPr>
          <w:p w14:paraId="472C1E1D" w14:textId="77777777" w:rsidR="005B22BD" w:rsidRPr="005B22BD" w:rsidRDefault="005B22BD" w:rsidP="005B22BD">
            <w:pPr>
              <w:widowControl/>
              <w:adjustRightInd w:val="0"/>
              <w:spacing w:after="100" w:afterAutospacing="1"/>
              <w:rPr>
                <w:rFonts w:eastAsia="Calibri"/>
                <w:color w:val="0D0D0D"/>
                <w:sz w:val="20"/>
                <w:highlight w:val="yellow"/>
                <w:lang w:val="fr-BE"/>
              </w:rPr>
            </w:pPr>
            <w:r w:rsidRPr="005B22BD">
              <w:rPr>
                <w:rFonts w:eastAsia="Calibri"/>
                <w:color w:val="0D0D0D"/>
                <w:sz w:val="20"/>
                <w:lang w:val="fr-BE"/>
              </w:rPr>
              <w:t>Collaboration effective entre la CENI, les acteurs politiques</w:t>
            </w:r>
          </w:p>
        </w:tc>
      </w:tr>
      <w:tr w:rsidR="005B22BD" w:rsidRPr="005B22BD" w14:paraId="0FFF0094" w14:textId="77777777" w:rsidTr="005B22BD">
        <w:trPr>
          <w:trHeight w:val="418"/>
          <w:tblHeader/>
        </w:trPr>
        <w:tc>
          <w:tcPr>
            <w:tcW w:w="711" w:type="pct"/>
            <w:shd w:val="clear" w:color="auto" w:fill="D9D9D9"/>
            <w:vAlign w:val="center"/>
          </w:tcPr>
          <w:p w14:paraId="525F3A41"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 xml:space="preserve">Produit 2 </w:t>
            </w:r>
          </w:p>
          <w:p w14:paraId="2A4AB7D8"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lié à l’effet direct 2</w:t>
            </w:r>
          </w:p>
        </w:tc>
        <w:tc>
          <w:tcPr>
            <w:tcW w:w="1051" w:type="pct"/>
            <w:shd w:val="clear" w:color="auto" w:fill="auto"/>
            <w:vAlign w:val="center"/>
          </w:tcPr>
          <w:p w14:paraId="0F7B96F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2.1 </w:t>
            </w:r>
            <w:r w:rsidRPr="005B22BD">
              <w:rPr>
                <w:rFonts w:eastAsia="Calibri"/>
                <w:lang w:val="fr-BE"/>
              </w:rPr>
              <w:t xml:space="preserve"> </w:t>
            </w:r>
            <w:r w:rsidRPr="005B22BD">
              <w:rPr>
                <w:rFonts w:eastAsia="Calibri"/>
                <w:color w:val="0D0D0D"/>
                <w:sz w:val="20"/>
                <w:lang w:val="fr-BE"/>
              </w:rPr>
              <w:t xml:space="preserve">La </w:t>
            </w:r>
            <w:proofErr w:type="spellStart"/>
            <w:r w:rsidRPr="005B22BD">
              <w:rPr>
                <w:rFonts w:eastAsia="Calibri"/>
                <w:color w:val="0D0D0D"/>
                <w:sz w:val="20"/>
                <w:lang w:val="fr-BE"/>
              </w:rPr>
              <w:t>CNIDH</w:t>
            </w:r>
            <w:proofErr w:type="spellEnd"/>
            <w:r w:rsidRPr="005B22BD">
              <w:rPr>
                <w:rFonts w:eastAsia="Calibri"/>
                <w:color w:val="0D0D0D"/>
                <w:sz w:val="20"/>
                <w:lang w:val="fr-BE"/>
              </w:rPr>
              <w:t xml:space="preserve"> est formée aux enjeux techniques d’un processus électoral et elle est mieux outillée pour remplir son rôle d’enquête, d’étude et de monitoring des droits de l’homme et de l’égalité de genre, dans le cadre du processus électoral.</w:t>
            </w:r>
          </w:p>
        </w:tc>
        <w:tc>
          <w:tcPr>
            <w:tcW w:w="1066" w:type="pct"/>
            <w:shd w:val="clear" w:color="auto" w:fill="FFFFFF"/>
            <w:vAlign w:val="center"/>
          </w:tcPr>
          <w:p w14:paraId="135C2042"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2.2.1</w:t>
            </w:r>
            <w:r w:rsidRPr="005B22BD">
              <w:rPr>
                <w:rFonts w:eastAsia="Calibri"/>
                <w:lang w:val="fr-BE"/>
              </w:rPr>
              <w:t xml:space="preserve"> </w:t>
            </w:r>
            <w:r w:rsidRPr="005B22BD">
              <w:rPr>
                <w:rFonts w:eastAsia="Calibri"/>
                <w:color w:val="0D0D0D"/>
                <w:sz w:val="20"/>
                <w:lang w:val="fr-BE"/>
              </w:rPr>
              <w:t xml:space="preserve">Nombre de membres de la </w:t>
            </w:r>
            <w:proofErr w:type="spellStart"/>
            <w:r w:rsidRPr="005B22BD">
              <w:rPr>
                <w:rFonts w:eastAsia="Calibri"/>
                <w:color w:val="0D0D0D"/>
                <w:sz w:val="20"/>
                <w:lang w:val="fr-BE"/>
              </w:rPr>
              <w:t>CNIDH</w:t>
            </w:r>
            <w:proofErr w:type="spellEnd"/>
            <w:r w:rsidRPr="005B22BD">
              <w:rPr>
                <w:rFonts w:eastAsia="Calibri"/>
                <w:color w:val="0D0D0D"/>
                <w:sz w:val="20"/>
                <w:lang w:val="fr-BE"/>
              </w:rPr>
              <w:t xml:space="preserve"> et personnels formés et ayant acquis de nouvelles compétences sur les aspects pertinents du processus électoral avec l’appui de l’UE (H/F</w:t>
            </w:r>
          </w:p>
        </w:tc>
        <w:tc>
          <w:tcPr>
            <w:tcW w:w="453" w:type="pct"/>
            <w:shd w:val="clear" w:color="auto" w:fill="FFFFFF"/>
          </w:tcPr>
          <w:p w14:paraId="504E4E3B"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2.2.1 0 (2020)</w:t>
            </w:r>
          </w:p>
        </w:tc>
        <w:tc>
          <w:tcPr>
            <w:tcW w:w="526" w:type="pct"/>
            <w:shd w:val="clear" w:color="auto" w:fill="FFFFFF"/>
          </w:tcPr>
          <w:p w14:paraId="671C077F"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2.2.1 </w:t>
            </w:r>
            <w:r w:rsidRPr="005B22BD">
              <w:rPr>
                <w:rFonts w:eastAsia="Calibri"/>
                <w:lang w:val="en-GB"/>
              </w:rPr>
              <w:t xml:space="preserve"> </w:t>
            </w:r>
            <w:r w:rsidRPr="005B22BD">
              <w:rPr>
                <w:rFonts w:eastAsia="Calibri"/>
                <w:color w:val="0D0D0D"/>
                <w:sz w:val="20"/>
                <w:lang w:val="fr-BE"/>
              </w:rPr>
              <w:t>À définir (2025)</w:t>
            </w:r>
          </w:p>
        </w:tc>
        <w:tc>
          <w:tcPr>
            <w:tcW w:w="610" w:type="pct"/>
            <w:shd w:val="clear" w:color="auto" w:fill="FFFFFF"/>
            <w:vAlign w:val="center"/>
          </w:tcPr>
          <w:p w14:paraId="395879B7"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2.2.1 Rapports de l’action, modules de formation, rapports des </w:t>
            </w:r>
            <w:proofErr w:type="spellStart"/>
            <w:r w:rsidRPr="005B22BD">
              <w:rPr>
                <w:rFonts w:eastAsia="Calibri"/>
                <w:color w:val="0D0D0D"/>
                <w:sz w:val="20"/>
                <w:lang w:val="fr-BE"/>
              </w:rPr>
              <w:t>OSC</w:t>
            </w:r>
            <w:proofErr w:type="spellEnd"/>
            <w:r w:rsidRPr="005B22BD">
              <w:rPr>
                <w:rFonts w:eastAsia="Calibri"/>
                <w:color w:val="0D0D0D"/>
                <w:sz w:val="20"/>
                <w:lang w:val="fr-BE"/>
              </w:rPr>
              <w:t xml:space="preserve">, Rapport annuel de la </w:t>
            </w:r>
            <w:proofErr w:type="spellStart"/>
            <w:r w:rsidRPr="005B22BD">
              <w:rPr>
                <w:rFonts w:eastAsia="Calibri"/>
                <w:color w:val="0D0D0D"/>
                <w:sz w:val="20"/>
                <w:lang w:val="fr-BE"/>
              </w:rPr>
              <w:t>CNIDH</w:t>
            </w:r>
            <w:proofErr w:type="spellEnd"/>
          </w:p>
        </w:tc>
        <w:tc>
          <w:tcPr>
            <w:tcW w:w="582" w:type="pct"/>
            <w:shd w:val="clear" w:color="auto" w:fill="auto"/>
            <w:vAlign w:val="center"/>
          </w:tcPr>
          <w:p w14:paraId="12422E83"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Indépendance de la </w:t>
            </w:r>
            <w:proofErr w:type="spellStart"/>
            <w:r w:rsidRPr="005B22BD">
              <w:rPr>
                <w:rFonts w:eastAsia="Calibri"/>
                <w:color w:val="0D0D0D"/>
                <w:sz w:val="20"/>
                <w:lang w:val="fr-BE"/>
              </w:rPr>
              <w:t>CNIDH</w:t>
            </w:r>
            <w:proofErr w:type="spellEnd"/>
            <w:r w:rsidRPr="005B22BD">
              <w:rPr>
                <w:rFonts w:eastAsia="Calibri"/>
                <w:color w:val="0D0D0D"/>
                <w:sz w:val="20"/>
                <w:lang w:val="fr-BE"/>
              </w:rPr>
              <w:t xml:space="preserve"> </w:t>
            </w:r>
          </w:p>
        </w:tc>
      </w:tr>
      <w:tr w:rsidR="005B22BD" w:rsidRPr="005B22BD" w14:paraId="5F80016B" w14:textId="77777777" w:rsidTr="005B22BD">
        <w:trPr>
          <w:trHeight w:val="418"/>
          <w:tblHeader/>
        </w:trPr>
        <w:tc>
          <w:tcPr>
            <w:tcW w:w="711" w:type="pct"/>
            <w:shd w:val="clear" w:color="auto" w:fill="D9D9D9"/>
            <w:vAlign w:val="center"/>
          </w:tcPr>
          <w:p w14:paraId="44C5EEF4"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Produit 1</w:t>
            </w:r>
          </w:p>
          <w:p w14:paraId="786CE187"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lié à l’effet direct 3</w:t>
            </w:r>
          </w:p>
        </w:tc>
        <w:tc>
          <w:tcPr>
            <w:tcW w:w="1051" w:type="pct"/>
            <w:shd w:val="clear" w:color="auto" w:fill="auto"/>
            <w:vAlign w:val="center"/>
          </w:tcPr>
          <w:p w14:paraId="0414DE8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 3.1 La participation des partis politiques, avec un focus sur les jeunes et les femmes, dans la gouvernance démocratique au Burundi sont renforcées.</w:t>
            </w:r>
          </w:p>
        </w:tc>
        <w:tc>
          <w:tcPr>
            <w:tcW w:w="1066" w:type="pct"/>
            <w:shd w:val="clear" w:color="auto" w:fill="FFFFFF"/>
            <w:vAlign w:val="center"/>
          </w:tcPr>
          <w:p w14:paraId="2FAA66EB"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3.1.1 </w:t>
            </w:r>
            <w:r w:rsidRPr="005B22BD">
              <w:rPr>
                <w:rFonts w:eastAsia="Calibri"/>
                <w:lang w:val="fr-BE"/>
              </w:rPr>
              <w:t xml:space="preserve"> </w:t>
            </w:r>
            <w:r w:rsidRPr="005B22BD">
              <w:rPr>
                <w:rFonts w:eastAsia="Calibri"/>
                <w:color w:val="0D0D0D"/>
                <w:sz w:val="20"/>
                <w:lang w:val="fr-BE"/>
              </w:rPr>
              <w:t xml:space="preserve">Code de conduite des partis politiques </w:t>
            </w:r>
          </w:p>
        </w:tc>
        <w:tc>
          <w:tcPr>
            <w:tcW w:w="453" w:type="pct"/>
            <w:shd w:val="clear" w:color="auto" w:fill="FFFFFF"/>
          </w:tcPr>
          <w:p w14:paraId="373B18D8"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3.1.1 0 (2022)</w:t>
            </w:r>
          </w:p>
        </w:tc>
        <w:tc>
          <w:tcPr>
            <w:tcW w:w="526" w:type="pct"/>
            <w:shd w:val="clear" w:color="auto" w:fill="FFFFFF"/>
          </w:tcPr>
          <w:p w14:paraId="7134D747"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3.1.1 1 (2025)</w:t>
            </w:r>
          </w:p>
        </w:tc>
        <w:tc>
          <w:tcPr>
            <w:tcW w:w="610" w:type="pct"/>
            <w:shd w:val="clear" w:color="auto" w:fill="FFFFFF"/>
            <w:vAlign w:val="center"/>
          </w:tcPr>
          <w:p w14:paraId="1333C392"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3.1.1 Rapports de l’action</w:t>
            </w:r>
          </w:p>
        </w:tc>
        <w:tc>
          <w:tcPr>
            <w:tcW w:w="582" w:type="pct"/>
            <w:shd w:val="clear" w:color="auto" w:fill="auto"/>
            <w:vAlign w:val="center"/>
          </w:tcPr>
          <w:p w14:paraId="43E2666B"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Proactivité des partis politiques</w:t>
            </w:r>
          </w:p>
        </w:tc>
      </w:tr>
      <w:tr w:rsidR="005B22BD" w:rsidRPr="005B22BD" w14:paraId="0785588F" w14:textId="77777777" w:rsidTr="005B22BD">
        <w:trPr>
          <w:trHeight w:val="418"/>
          <w:tblHeader/>
        </w:trPr>
        <w:tc>
          <w:tcPr>
            <w:tcW w:w="711" w:type="pct"/>
            <w:shd w:val="clear" w:color="auto" w:fill="D9D9D9"/>
            <w:vAlign w:val="center"/>
          </w:tcPr>
          <w:p w14:paraId="4CC34AF3"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Produit 1</w:t>
            </w:r>
          </w:p>
          <w:p w14:paraId="7B1F2763"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r w:rsidRPr="005B22BD">
              <w:rPr>
                <w:rFonts w:eastAsia="Calibri"/>
                <w:b/>
                <w:color w:val="0D0D0D"/>
                <w:sz w:val="20"/>
                <w:lang w:val="fr-BE"/>
              </w:rPr>
              <w:t xml:space="preserve">lié à l’effet direct 4 </w:t>
            </w:r>
          </w:p>
        </w:tc>
        <w:tc>
          <w:tcPr>
            <w:tcW w:w="1051" w:type="pct"/>
            <w:shd w:val="clear" w:color="auto" w:fill="auto"/>
            <w:vAlign w:val="center"/>
          </w:tcPr>
          <w:p w14:paraId="7536FC5E"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4.1 Les capacités du secteur des médias pour promouvoir un environnement libre, pluraliste et indépendant, y compris en période d’élections, sont renforcées.</w:t>
            </w:r>
          </w:p>
        </w:tc>
        <w:tc>
          <w:tcPr>
            <w:tcW w:w="1066" w:type="pct"/>
            <w:shd w:val="clear" w:color="auto" w:fill="FFFFFF"/>
            <w:vAlign w:val="center"/>
          </w:tcPr>
          <w:p w14:paraId="597CA8A5"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4.1.1 Taux d’accessibilité au grand public et aux acteurs clé d’informations ponctuelles et impartiales concernant le processus électoral </w:t>
            </w:r>
          </w:p>
          <w:p w14:paraId="1E5E9D95"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4.1.2 </w:t>
            </w:r>
            <w:r w:rsidRPr="005B22BD">
              <w:rPr>
                <w:rFonts w:eastAsia="Calibri"/>
                <w:lang w:val="fr-BE"/>
              </w:rPr>
              <w:t xml:space="preserve">  </w:t>
            </w:r>
            <w:r w:rsidRPr="005B22BD">
              <w:rPr>
                <w:rFonts w:eastAsia="Calibri"/>
                <w:color w:val="0D0D0D"/>
                <w:sz w:val="20"/>
                <w:lang w:val="fr-BE"/>
              </w:rPr>
              <w:t>Nombre de médias capables de réaliser régulièrement leurs activités de reportage et production grâce à l’appui technique et financier de l'UE</w:t>
            </w:r>
          </w:p>
        </w:tc>
        <w:tc>
          <w:tcPr>
            <w:tcW w:w="453" w:type="pct"/>
            <w:shd w:val="clear" w:color="auto" w:fill="FFFFFF"/>
          </w:tcPr>
          <w:p w14:paraId="2ED0163A"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4.1.1 0 (2022)</w:t>
            </w:r>
          </w:p>
          <w:p w14:paraId="7FF17247"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6CBA0B5F"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4.1.2 0 (2022)</w:t>
            </w:r>
          </w:p>
        </w:tc>
        <w:tc>
          <w:tcPr>
            <w:tcW w:w="526" w:type="pct"/>
            <w:shd w:val="clear" w:color="auto" w:fill="FFFFFF"/>
          </w:tcPr>
          <w:p w14:paraId="385325D6" w14:textId="77777777" w:rsidR="005B22BD" w:rsidRPr="005B22BD" w:rsidRDefault="005B22BD" w:rsidP="005B22BD">
            <w:pPr>
              <w:widowControl/>
              <w:autoSpaceDE/>
              <w:autoSpaceDN/>
              <w:spacing w:after="100" w:afterAutospacing="1"/>
              <w:jc w:val="both"/>
              <w:rPr>
                <w:rFonts w:eastAsia="Calibri"/>
                <w:color w:val="0D0D0D"/>
                <w:sz w:val="20"/>
                <w:lang w:val="fr-BE"/>
              </w:rPr>
            </w:pPr>
            <w:proofErr w:type="gramStart"/>
            <w:r w:rsidRPr="005B22BD">
              <w:rPr>
                <w:rFonts w:eastAsia="Calibri"/>
                <w:color w:val="0D0D0D"/>
                <w:sz w:val="20"/>
                <w:lang w:val="fr-BE"/>
              </w:rPr>
              <w:t xml:space="preserve">4.1.1 </w:t>
            </w:r>
            <w:r w:rsidRPr="005B22BD">
              <w:rPr>
                <w:rFonts w:eastAsia="Calibri"/>
                <w:lang w:val="fr-BE"/>
              </w:rPr>
              <w:t xml:space="preserve"> </w:t>
            </w:r>
            <w:r w:rsidRPr="005B22BD">
              <w:rPr>
                <w:rFonts w:eastAsia="Calibri"/>
                <w:color w:val="0D0D0D"/>
                <w:sz w:val="20"/>
                <w:lang w:val="fr-BE"/>
              </w:rPr>
              <w:t>À</w:t>
            </w:r>
            <w:proofErr w:type="gramEnd"/>
            <w:r w:rsidRPr="005B22BD">
              <w:rPr>
                <w:rFonts w:eastAsia="Calibri"/>
                <w:color w:val="0D0D0D"/>
                <w:sz w:val="20"/>
                <w:lang w:val="fr-BE"/>
              </w:rPr>
              <w:t xml:space="preserve"> définir (2027)</w:t>
            </w:r>
          </w:p>
          <w:p w14:paraId="68DF52FD"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4.1.2  </w:t>
            </w:r>
            <w:r w:rsidRPr="005B22BD">
              <w:rPr>
                <w:rFonts w:eastAsia="Calibri"/>
                <w:lang w:val="en-GB"/>
              </w:rPr>
              <w:t xml:space="preserve"> </w:t>
            </w:r>
            <w:r w:rsidRPr="005B22BD">
              <w:rPr>
                <w:rFonts w:eastAsia="Calibri"/>
                <w:color w:val="0D0D0D"/>
                <w:sz w:val="20"/>
                <w:lang w:val="fr-BE"/>
              </w:rPr>
              <w:t>À définir (2025</w:t>
            </w:r>
          </w:p>
        </w:tc>
        <w:tc>
          <w:tcPr>
            <w:tcW w:w="610" w:type="pct"/>
            <w:shd w:val="clear" w:color="auto" w:fill="FFFFFF"/>
            <w:vAlign w:val="center"/>
          </w:tcPr>
          <w:p w14:paraId="5A7FA25A"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4.1.1, 4.1.2 Étude d’auditoire des médias burundais, Rapports de l’action, couverture médiatique</w:t>
            </w:r>
          </w:p>
        </w:tc>
        <w:tc>
          <w:tcPr>
            <w:tcW w:w="582" w:type="pct"/>
            <w:shd w:val="clear" w:color="auto" w:fill="auto"/>
            <w:vAlign w:val="center"/>
          </w:tcPr>
          <w:p w14:paraId="6D844CDB"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Soutien du Ministère de la Communication</w:t>
            </w:r>
          </w:p>
        </w:tc>
      </w:tr>
      <w:tr w:rsidR="005B22BD" w:rsidRPr="005B22BD" w14:paraId="09E867E9" w14:textId="77777777" w:rsidTr="005B22BD">
        <w:trPr>
          <w:trHeight w:val="418"/>
          <w:tblHeader/>
        </w:trPr>
        <w:tc>
          <w:tcPr>
            <w:tcW w:w="711" w:type="pct"/>
            <w:shd w:val="clear" w:color="auto" w:fill="D9D9D9"/>
            <w:vAlign w:val="center"/>
          </w:tcPr>
          <w:p w14:paraId="21A3281D" w14:textId="77777777" w:rsidR="005B22BD" w:rsidRPr="005B22BD" w:rsidRDefault="005B22BD" w:rsidP="005B22BD">
            <w:pPr>
              <w:widowControl/>
              <w:tabs>
                <w:tab w:val="left" w:pos="0"/>
                <w:tab w:val="left" w:pos="132"/>
              </w:tabs>
              <w:autoSpaceDE/>
              <w:autoSpaceDN/>
              <w:spacing w:after="100" w:afterAutospacing="1"/>
              <w:jc w:val="both"/>
              <w:rPr>
                <w:rFonts w:eastAsia="Calibri"/>
                <w:b/>
                <w:color w:val="0D0D0D"/>
                <w:sz w:val="20"/>
                <w:lang w:val="fr-BE"/>
              </w:rPr>
            </w:pPr>
          </w:p>
        </w:tc>
        <w:tc>
          <w:tcPr>
            <w:tcW w:w="1051" w:type="pct"/>
            <w:shd w:val="clear" w:color="auto" w:fill="auto"/>
            <w:vAlign w:val="center"/>
          </w:tcPr>
          <w:p w14:paraId="0B46A2ED"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4.2 </w:t>
            </w:r>
            <w:r w:rsidRPr="005B22BD">
              <w:rPr>
                <w:rFonts w:eastAsia="Calibri"/>
                <w:lang w:val="fr-BE"/>
              </w:rPr>
              <w:t xml:space="preserve"> </w:t>
            </w:r>
            <w:r w:rsidRPr="005B22BD">
              <w:rPr>
                <w:rFonts w:eastAsia="Calibri"/>
                <w:color w:val="0D0D0D"/>
                <w:sz w:val="20"/>
                <w:lang w:val="fr-BE"/>
              </w:rPr>
              <w:t xml:space="preserve">Les capacités du </w:t>
            </w:r>
            <w:proofErr w:type="spellStart"/>
            <w:r w:rsidRPr="005B22BD">
              <w:rPr>
                <w:rFonts w:eastAsia="Calibri"/>
                <w:color w:val="0D0D0D"/>
                <w:sz w:val="20"/>
                <w:lang w:val="fr-BE"/>
              </w:rPr>
              <w:t>CNC</w:t>
            </w:r>
            <w:proofErr w:type="spellEnd"/>
            <w:r w:rsidRPr="005B22BD">
              <w:rPr>
                <w:rFonts w:eastAsia="Calibri"/>
                <w:color w:val="0D0D0D"/>
                <w:sz w:val="20"/>
                <w:lang w:val="fr-BE"/>
              </w:rPr>
              <w:t xml:space="preserve"> sont renforcées afin de garantir un environnement des médias libre, pluraliste, indépendant et propice à la cohésion sociale</w:t>
            </w:r>
          </w:p>
        </w:tc>
        <w:tc>
          <w:tcPr>
            <w:tcW w:w="1066" w:type="pct"/>
            <w:shd w:val="clear" w:color="auto" w:fill="FFFFFF"/>
            <w:vAlign w:val="center"/>
          </w:tcPr>
          <w:p w14:paraId="2FE50F07"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4.2.1 Nombre de personnes bénéficiaires au sein de la CENI, de la </w:t>
            </w:r>
            <w:proofErr w:type="spellStart"/>
            <w:r w:rsidRPr="005B22BD">
              <w:rPr>
                <w:rFonts w:eastAsia="Calibri"/>
                <w:color w:val="0D0D0D"/>
                <w:sz w:val="20"/>
                <w:lang w:val="fr-BE"/>
              </w:rPr>
              <w:t>CNIDH</w:t>
            </w:r>
            <w:proofErr w:type="spellEnd"/>
            <w:r w:rsidRPr="005B22BD">
              <w:rPr>
                <w:rFonts w:eastAsia="Calibri"/>
                <w:color w:val="0D0D0D"/>
                <w:sz w:val="20"/>
                <w:lang w:val="fr-BE"/>
              </w:rPr>
              <w:t xml:space="preserve"> et de l’Ombudsman d’actions de renforcement de capacités et ayant acquis avec le soutien de l’UE de nouvelles compétences pour l’organisation d’élections (H/F et âge)</w:t>
            </w:r>
          </w:p>
          <w:p w14:paraId="017E4A7A"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4.2.2 Nombres de médias agréés au sein du </w:t>
            </w:r>
            <w:proofErr w:type="spellStart"/>
            <w:r w:rsidRPr="005B22BD">
              <w:rPr>
                <w:rFonts w:eastAsia="Calibri"/>
                <w:color w:val="0D0D0D"/>
                <w:sz w:val="20"/>
                <w:lang w:val="fr-BE"/>
              </w:rPr>
              <w:t>CNC</w:t>
            </w:r>
            <w:proofErr w:type="spellEnd"/>
            <w:r w:rsidRPr="005B22BD">
              <w:rPr>
                <w:rFonts w:eastAsia="Calibri"/>
                <w:color w:val="0D0D0D"/>
                <w:sz w:val="20"/>
                <w:lang w:val="fr-BE"/>
              </w:rPr>
              <w:t xml:space="preserve"> </w:t>
            </w:r>
          </w:p>
          <w:p w14:paraId="64FBD002"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4.2.3 Nombre de plaintes traitées par le service de plaintes du </w:t>
            </w:r>
            <w:proofErr w:type="spellStart"/>
            <w:r w:rsidRPr="005B22BD">
              <w:rPr>
                <w:rFonts w:eastAsia="Calibri"/>
                <w:color w:val="0D0D0D"/>
                <w:sz w:val="20"/>
                <w:lang w:val="fr-BE"/>
              </w:rPr>
              <w:t>CNC</w:t>
            </w:r>
            <w:proofErr w:type="spellEnd"/>
            <w:r w:rsidRPr="005B22BD">
              <w:rPr>
                <w:rFonts w:eastAsia="Calibri"/>
                <w:color w:val="0D0D0D"/>
                <w:sz w:val="20"/>
                <w:lang w:val="fr-BE"/>
              </w:rPr>
              <w:t xml:space="preserve"> </w:t>
            </w:r>
          </w:p>
          <w:p w14:paraId="2B67C494"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4.2.4 Mise en </w:t>
            </w:r>
            <w:proofErr w:type="spellStart"/>
            <w:r w:rsidRPr="005B22BD">
              <w:rPr>
                <w:rFonts w:eastAsia="Calibri"/>
                <w:color w:val="0D0D0D"/>
                <w:sz w:val="20"/>
                <w:lang w:val="fr-BE"/>
              </w:rPr>
              <w:t>oeuvre</w:t>
            </w:r>
            <w:proofErr w:type="spellEnd"/>
            <w:r w:rsidRPr="005B22BD">
              <w:rPr>
                <w:rFonts w:eastAsia="Calibri"/>
                <w:color w:val="0D0D0D"/>
                <w:sz w:val="20"/>
                <w:lang w:val="fr-BE"/>
              </w:rPr>
              <w:t xml:space="preserve"> effective d’un suivi/d’une couverture du processus électoral, dans un environnement libre, par des media pluralistes et professionnels.  </w:t>
            </w:r>
          </w:p>
          <w:p w14:paraId="46ED3DA1"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4.2.5 Nombre de débats appuyés par l’action sur les questions liées à la liberté de la presse et au processus électoral avec le soutien de l’UE</w:t>
            </w:r>
          </w:p>
          <w:p w14:paraId="1662177E"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4.2.6 Nombre des articles de presse montrant une bonne connaissance du processus électoral</w:t>
            </w:r>
          </w:p>
        </w:tc>
        <w:tc>
          <w:tcPr>
            <w:tcW w:w="453" w:type="pct"/>
            <w:shd w:val="clear" w:color="auto" w:fill="FFFFFF"/>
          </w:tcPr>
          <w:p w14:paraId="4C2BF39F"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4.2.1 0 (2020)</w:t>
            </w:r>
          </w:p>
          <w:p w14:paraId="4D2DF31A"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76D40C33"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3FE505FA"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50230EA0"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4.2.2 236 (2022)</w:t>
            </w:r>
          </w:p>
          <w:p w14:paraId="6BF502EA"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4.2.3 10 dossiers traités pendant 2019-2022</w:t>
            </w:r>
          </w:p>
          <w:p w14:paraId="317DAF57"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4.2.4 0 (2022)</w:t>
            </w:r>
          </w:p>
          <w:p w14:paraId="3DBC5879"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7D9AF8D0"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3D48421E"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4.2.5 0 (2020)</w:t>
            </w:r>
          </w:p>
          <w:p w14:paraId="181D4ACC"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36CB3C0B"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4.2.6 0 (2020)</w:t>
            </w:r>
          </w:p>
        </w:tc>
        <w:tc>
          <w:tcPr>
            <w:tcW w:w="526" w:type="pct"/>
            <w:shd w:val="clear" w:color="auto" w:fill="FFFFFF"/>
          </w:tcPr>
          <w:p w14:paraId="2DCB33DC" w14:textId="77777777" w:rsidR="005B22BD" w:rsidRPr="005B22BD" w:rsidRDefault="005B22BD" w:rsidP="005B22BD">
            <w:pPr>
              <w:widowControl/>
              <w:autoSpaceDE/>
              <w:autoSpaceDN/>
              <w:spacing w:after="100" w:afterAutospacing="1"/>
              <w:jc w:val="both"/>
              <w:rPr>
                <w:rFonts w:eastAsia="Calibri"/>
                <w:color w:val="0D0D0D"/>
                <w:sz w:val="20"/>
                <w:lang w:val="fr-BE"/>
              </w:rPr>
            </w:pPr>
            <w:proofErr w:type="gramStart"/>
            <w:r w:rsidRPr="005B22BD">
              <w:rPr>
                <w:rFonts w:eastAsia="Calibri"/>
                <w:color w:val="0D0D0D"/>
                <w:sz w:val="20"/>
                <w:lang w:val="fr-BE"/>
              </w:rPr>
              <w:t>4.2.1  À</w:t>
            </w:r>
            <w:proofErr w:type="gramEnd"/>
            <w:r w:rsidRPr="005B22BD">
              <w:rPr>
                <w:rFonts w:eastAsia="Calibri"/>
                <w:color w:val="0D0D0D"/>
                <w:sz w:val="20"/>
                <w:lang w:val="fr-BE"/>
              </w:rPr>
              <w:t xml:space="preserve"> définir (2025)</w:t>
            </w:r>
          </w:p>
          <w:p w14:paraId="67914BCC"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4C15B8E2"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7862A5E4"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7B831C54"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4.2.2 316 (2027)</w:t>
            </w:r>
          </w:p>
          <w:p w14:paraId="6FE2B022"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4.2.3 500 dossiers (2027)</w:t>
            </w:r>
          </w:p>
          <w:p w14:paraId="668BFEA9"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23B59268"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4.2.4 Amélioration</w:t>
            </w:r>
          </w:p>
          <w:p w14:paraId="07BE60AC"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2D8F6580"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4.2.5 6 (2025)</w:t>
            </w:r>
          </w:p>
          <w:p w14:paraId="7135B01F" w14:textId="77777777" w:rsidR="005B22BD" w:rsidRPr="005B22BD" w:rsidRDefault="005B22BD" w:rsidP="005B22BD">
            <w:pPr>
              <w:widowControl/>
              <w:autoSpaceDE/>
              <w:autoSpaceDN/>
              <w:spacing w:after="100" w:afterAutospacing="1"/>
              <w:jc w:val="both"/>
              <w:rPr>
                <w:rFonts w:eastAsia="Calibri"/>
                <w:color w:val="0D0D0D"/>
                <w:sz w:val="20"/>
                <w:lang w:val="fr-BE"/>
              </w:rPr>
            </w:pPr>
          </w:p>
          <w:p w14:paraId="33B2802F"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4.2.6 36 (2025)</w:t>
            </w:r>
          </w:p>
          <w:p w14:paraId="61EC6CB4" w14:textId="77777777" w:rsidR="005B22BD" w:rsidRPr="005B22BD" w:rsidRDefault="005B22BD" w:rsidP="005B22BD">
            <w:pPr>
              <w:widowControl/>
              <w:autoSpaceDE/>
              <w:autoSpaceDN/>
              <w:spacing w:after="100" w:afterAutospacing="1"/>
              <w:jc w:val="both"/>
              <w:rPr>
                <w:rFonts w:eastAsia="Calibri"/>
                <w:color w:val="0D0D0D"/>
                <w:sz w:val="20"/>
                <w:lang w:val="fr-BE"/>
              </w:rPr>
            </w:pPr>
          </w:p>
        </w:tc>
        <w:tc>
          <w:tcPr>
            <w:tcW w:w="610" w:type="pct"/>
            <w:shd w:val="clear" w:color="auto" w:fill="FFFFFF"/>
            <w:vAlign w:val="center"/>
          </w:tcPr>
          <w:p w14:paraId="4613293B"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4.2.1 Rapports du programme</w:t>
            </w:r>
          </w:p>
          <w:p w14:paraId="68218F3A"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 xml:space="preserve">4.2.2, 4.2.3, 4.2.4 Rapport annuel du </w:t>
            </w:r>
            <w:proofErr w:type="spellStart"/>
            <w:r w:rsidRPr="005B22BD">
              <w:rPr>
                <w:rFonts w:eastAsia="Calibri"/>
                <w:color w:val="0D0D0D"/>
                <w:sz w:val="20"/>
                <w:lang w:val="fr-BE"/>
              </w:rPr>
              <w:t>CNC</w:t>
            </w:r>
            <w:proofErr w:type="spellEnd"/>
          </w:p>
          <w:p w14:paraId="6A809942" w14:textId="77777777" w:rsidR="005B22BD" w:rsidRPr="005B22BD" w:rsidRDefault="005B22BD" w:rsidP="005B22BD">
            <w:pPr>
              <w:widowControl/>
              <w:autoSpaceDE/>
              <w:autoSpaceDN/>
              <w:spacing w:after="100" w:afterAutospacing="1"/>
              <w:jc w:val="both"/>
              <w:rPr>
                <w:rFonts w:eastAsia="Calibri"/>
                <w:color w:val="0D0D0D"/>
                <w:sz w:val="20"/>
                <w:lang w:val="fr-BE"/>
              </w:rPr>
            </w:pPr>
            <w:r w:rsidRPr="005B22BD">
              <w:rPr>
                <w:rFonts w:eastAsia="Calibri"/>
                <w:color w:val="0D0D0D"/>
                <w:sz w:val="20"/>
                <w:lang w:val="fr-BE"/>
              </w:rPr>
              <w:t>4.2.5 Rapports du programme</w:t>
            </w:r>
          </w:p>
        </w:tc>
        <w:tc>
          <w:tcPr>
            <w:tcW w:w="582" w:type="pct"/>
            <w:shd w:val="clear" w:color="auto" w:fill="auto"/>
            <w:vAlign w:val="center"/>
          </w:tcPr>
          <w:p w14:paraId="6284561C" w14:textId="77777777" w:rsidR="005B22BD" w:rsidRPr="005B22BD" w:rsidRDefault="005B22BD" w:rsidP="005B22BD">
            <w:pPr>
              <w:widowControl/>
              <w:adjustRightInd w:val="0"/>
              <w:spacing w:after="100" w:afterAutospacing="1"/>
              <w:jc w:val="both"/>
              <w:rPr>
                <w:rFonts w:eastAsia="Calibri"/>
                <w:color w:val="0D0D0D"/>
                <w:sz w:val="20"/>
                <w:lang w:val="fr-BE"/>
              </w:rPr>
            </w:pPr>
            <w:r w:rsidRPr="005B22BD">
              <w:rPr>
                <w:rFonts w:eastAsia="Calibri"/>
                <w:color w:val="0D0D0D"/>
                <w:sz w:val="20"/>
                <w:lang w:val="fr-BE"/>
              </w:rPr>
              <w:t xml:space="preserve">Collaboration effective entre le </w:t>
            </w:r>
            <w:proofErr w:type="spellStart"/>
            <w:r w:rsidRPr="005B22BD">
              <w:rPr>
                <w:rFonts w:eastAsia="Calibri"/>
                <w:color w:val="0D0D0D"/>
                <w:sz w:val="20"/>
                <w:lang w:val="fr-BE"/>
              </w:rPr>
              <w:t>CNC</w:t>
            </w:r>
            <w:proofErr w:type="spellEnd"/>
            <w:r w:rsidRPr="005B22BD">
              <w:rPr>
                <w:rFonts w:eastAsia="Calibri"/>
                <w:color w:val="0D0D0D"/>
                <w:sz w:val="20"/>
                <w:lang w:val="fr-BE"/>
              </w:rPr>
              <w:t xml:space="preserve"> et la société civile</w:t>
            </w:r>
          </w:p>
        </w:tc>
      </w:tr>
    </w:tbl>
    <w:p w14:paraId="7D6912B4" w14:textId="5F785E2C" w:rsidR="003C3B35" w:rsidRPr="005B22BD" w:rsidRDefault="003C3B35">
      <w:pPr>
        <w:pStyle w:val="BodyText"/>
        <w:spacing w:before="7"/>
        <w:rPr>
          <w:b/>
          <w:sz w:val="27"/>
          <w:lang w:val="fr-BE"/>
        </w:rPr>
      </w:pPr>
    </w:p>
    <w:sectPr w:rsidR="003C3B35" w:rsidRPr="005B22BD" w:rsidSect="00C423FC">
      <w:headerReference w:type="default" r:id="rId21"/>
      <w:footerReference w:type="default" r:id="rId22"/>
      <w:pgSz w:w="15840" w:h="12240" w:orient="landscape"/>
      <w:pgMar w:top="1360" w:right="1300" w:bottom="1400" w:left="1220" w:header="1173"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A3ED" w14:textId="77777777" w:rsidR="002957EF" w:rsidRDefault="002957EF" w:rsidP="003C3B35">
      <w:r>
        <w:separator/>
      </w:r>
    </w:p>
  </w:endnote>
  <w:endnote w:type="continuationSeparator" w:id="0">
    <w:p w14:paraId="6CE05E60" w14:textId="77777777" w:rsidR="002957EF" w:rsidRDefault="002957EF" w:rsidP="003C3B35">
      <w:r>
        <w:continuationSeparator/>
      </w:r>
    </w:p>
  </w:endnote>
  <w:endnote w:type="continuationNotice" w:id="1">
    <w:p w14:paraId="4561D753" w14:textId="77777777" w:rsidR="002957EF" w:rsidRDefault="0029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2EDC" w14:textId="77777777" w:rsidR="00AB2B27" w:rsidRDefault="00AB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420F" w14:textId="77777777" w:rsidR="00AB2B27" w:rsidRDefault="00AB2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CED0" w14:textId="77777777" w:rsidR="00AB2B27" w:rsidRDefault="00AB2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7548"/>
      <w:docPartObj>
        <w:docPartGallery w:val="Page Numbers (Bottom of Page)"/>
        <w:docPartUnique/>
      </w:docPartObj>
    </w:sdtPr>
    <w:sdtEndPr>
      <w:rPr>
        <w:noProof/>
      </w:rPr>
    </w:sdtEndPr>
    <w:sdtContent>
      <w:p w14:paraId="48321542" w14:textId="11421850" w:rsidR="00B82BCE" w:rsidRDefault="00B82BCE">
        <w:pPr>
          <w:pStyle w:val="Footer"/>
          <w:jc w:val="right"/>
        </w:pPr>
        <w:r>
          <w:fldChar w:fldCharType="begin"/>
        </w:r>
        <w:r>
          <w:instrText xml:space="preserve"> PAGE   \* MERGEFORMAT </w:instrText>
        </w:r>
        <w:r>
          <w:fldChar w:fldCharType="separate"/>
        </w:r>
        <w:r w:rsidR="00AB2B27">
          <w:rPr>
            <w:noProof/>
          </w:rPr>
          <w:t>2</w:t>
        </w:r>
        <w:r>
          <w:rPr>
            <w:noProof/>
          </w:rPr>
          <w:fldChar w:fldCharType="end"/>
        </w:r>
      </w:p>
    </w:sdtContent>
  </w:sdt>
  <w:p w14:paraId="7BE4B93C" w14:textId="1FEA587F" w:rsidR="00B82BCE" w:rsidRDefault="00B82BCE" w:rsidP="004F4B7C">
    <w:pPr>
      <w:spacing w:before="11"/>
      <w:ind w:left="20"/>
      <w:rPr>
        <w:i/>
        <w:sz w:val="17"/>
      </w:rPr>
    </w:pPr>
    <w:r>
      <w:rPr>
        <w:i/>
        <w:sz w:val="17"/>
      </w:rPr>
      <w:t>Note</w:t>
    </w:r>
    <w:r>
      <w:rPr>
        <w:i/>
        <w:spacing w:val="-5"/>
        <w:sz w:val="17"/>
      </w:rPr>
      <w:t xml:space="preserve"> </w:t>
    </w:r>
    <w:r>
      <w:rPr>
        <w:i/>
        <w:sz w:val="17"/>
      </w:rPr>
      <w:t>de</w:t>
    </w:r>
    <w:r>
      <w:rPr>
        <w:i/>
        <w:spacing w:val="-3"/>
        <w:sz w:val="17"/>
      </w:rPr>
      <w:t xml:space="preserve"> </w:t>
    </w:r>
    <w:r>
      <w:rPr>
        <w:i/>
        <w:sz w:val="17"/>
      </w:rPr>
      <w:t>cadrage:</w:t>
    </w:r>
    <w:r>
      <w:rPr>
        <w:i/>
        <w:spacing w:val="-6"/>
        <w:sz w:val="17"/>
      </w:rPr>
      <w:t xml:space="preserve"> </w:t>
    </w:r>
    <w:r w:rsidRPr="0030116C">
      <w:rPr>
        <w:i/>
        <w:spacing w:val="-6"/>
        <w:sz w:val="17"/>
      </w:rPr>
      <w:t xml:space="preserve">NDICI AFRICA/2023/045-218 (EC) </w:t>
    </w:r>
    <w:r w:rsidRPr="009D1EFA">
      <w:rPr>
        <w:i/>
        <w:sz w:val="17"/>
      </w:rPr>
      <w:t>Programme de promotion de la culture démocratique et renforcement de l’état de droit</w:t>
    </w:r>
  </w:p>
  <w:p w14:paraId="6E905F44" w14:textId="2F5AC486" w:rsidR="00B82BCE" w:rsidRDefault="00B82BCE">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2429"/>
      <w:docPartObj>
        <w:docPartGallery w:val="Page Numbers (Bottom of Page)"/>
        <w:docPartUnique/>
      </w:docPartObj>
    </w:sdtPr>
    <w:sdtEndPr>
      <w:rPr>
        <w:noProof/>
      </w:rPr>
    </w:sdtEndPr>
    <w:sdtContent>
      <w:p w14:paraId="6C64DE25" w14:textId="38B2CC2D" w:rsidR="00AB2B27" w:rsidRDefault="00AB2B27">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9915289" w14:textId="77777777" w:rsidR="00B82BCE" w:rsidRDefault="00B82BC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3394" w14:textId="77777777" w:rsidR="002957EF" w:rsidRDefault="002957EF" w:rsidP="003C3B35">
      <w:r>
        <w:separator/>
      </w:r>
    </w:p>
  </w:footnote>
  <w:footnote w:type="continuationSeparator" w:id="0">
    <w:p w14:paraId="7076EE98" w14:textId="77777777" w:rsidR="002957EF" w:rsidRDefault="002957EF" w:rsidP="003C3B35">
      <w:r>
        <w:continuationSeparator/>
      </w:r>
    </w:p>
  </w:footnote>
  <w:footnote w:type="continuationNotice" w:id="1">
    <w:p w14:paraId="740506AC" w14:textId="77777777" w:rsidR="002957EF" w:rsidRDefault="002957EF"/>
  </w:footnote>
  <w:footnote w:id="2">
    <w:p w14:paraId="3422D86D" w14:textId="77777777" w:rsidR="00B82BCE" w:rsidRPr="001B3777" w:rsidRDefault="00B82BCE" w:rsidP="00E83F36">
      <w:pPr>
        <w:pStyle w:val="FootnoteText"/>
        <w:rPr>
          <w:lang w:val="fr-BE"/>
        </w:rPr>
      </w:pPr>
      <w:r>
        <w:rPr>
          <w:rStyle w:val="FootnoteReference"/>
        </w:rPr>
        <w:footnoteRef/>
      </w:r>
      <w:r w:rsidRPr="001B3777">
        <w:rPr>
          <w:lang w:val="fr-BE"/>
        </w:rPr>
        <w:t xml:space="preserve"> </w:t>
      </w:r>
      <w:r w:rsidRPr="002954D8">
        <w:rPr>
          <w:color w:val="000000"/>
          <w:sz w:val="18"/>
          <w:szCs w:val="18"/>
          <w:lang w:val="fr-FR"/>
        </w:rPr>
        <w:t>Le PIB par habitant était de</w:t>
      </w:r>
      <w:r>
        <w:rPr>
          <w:lang w:val="fr-FR"/>
        </w:rPr>
        <w:t xml:space="preserve"> 305,5 USD en 2015.</w:t>
      </w:r>
    </w:p>
  </w:footnote>
  <w:footnote w:id="3">
    <w:p w14:paraId="44D620FB" w14:textId="3AAF03F9" w:rsidR="00B82BCE" w:rsidRPr="001B3777" w:rsidRDefault="00B82BCE">
      <w:pPr>
        <w:pStyle w:val="FootnoteText"/>
        <w:rPr>
          <w:lang w:val="fr-BE"/>
        </w:rPr>
      </w:pPr>
      <w:r>
        <w:rPr>
          <w:rStyle w:val="FootnoteReference"/>
        </w:rPr>
        <w:footnoteRef/>
      </w:r>
      <w:r w:rsidRPr="001B3777">
        <w:rPr>
          <w:lang w:val="fr-BE"/>
        </w:rPr>
        <w:t xml:space="preserve"> </w:t>
      </w:r>
      <w:r w:rsidRPr="002954D8">
        <w:rPr>
          <w:color w:val="000000"/>
          <w:sz w:val="18"/>
          <w:szCs w:val="18"/>
          <w:lang w:val="fr-FR"/>
        </w:rPr>
        <w:t>Le PIB par habitant était de</w:t>
      </w:r>
      <w:r>
        <w:rPr>
          <w:lang w:val="fr-FR"/>
        </w:rPr>
        <w:t xml:space="preserve"> 305,5 USD en 2015.</w:t>
      </w:r>
    </w:p>
  </w:footnote>
  <w:footnote w:id="4">
    <w:p w14:paraId="62D495CC" w14:textId="5FE169CB" w:rsidR="00B82BCE" w:rsidRPr="00C93C5E" w:rsidRDefault="00B82BCE">
      <w:pPr>
        <w:pStyle w:val="FootnoteText"/>
        <w:rPr>
          <w:lang w:val="fr-BE"/>
        </w:rPr>
      </w:pPr>
      <w:r>
        <w:rPr>
          <w:rStyle w:val="FootnoteReference"/>
        </w:rPr>
        <w:footnoteRef/>
      </w:r>
      <w:r w:rsidRPr="00C93C5E">
        <w:rPr>
          <w:lang w:val="fr-BE"/>
        </w:rPr>
        <w:t xml:space="preserve"> </w:t>
      </w:r>
      <w:r w:rsidRPr="00C00614">
        <w:rPr>
          <w:sz w:val="18"/>
          <w:szCs w:val="18"/>
          <w:lang w:val="fr-FR"/>
        </w:rPr>
        <w:t>FMI</w:t>
      </w:r>
      <w:r>
        <w:rPr>
          <w:sz w:val="18"/>
          <w:szCs w:val="18"/>
          <w:lang w:val="fr-FR"/>
        </w:rPr>
        <w:t> :</w:t>
      </w:r>
      <w:r w:rsidRPr="00C00614">
        <w:rPr>
          <w:sz w:val="18"/>
          <w:szCs w:val="18"/>
          <w:lang w:val="fr-FR"/>
        </w:rPr>
        <w:t xml:space="preserve"> </w:t>
      </w:r>
      <w:r w:rsidRPr="00605B6F">
        <w:rPr>
          <w:sz w:val="18"/>
          <w:szCs w:val="18"/>
          <w:lang w:val="fr-FR"/>
        </w:rPr>
        <w:t>Burundi pays le plus pauvre du monde devant le Soudan du Sud et la Somalie.</w:t>
      </w:r>
    </w:p>
  </w:footnote>
  <w:footnote w:id="5">
    <w:p w14:paraId="6530BAAC" w14:textId="77777777" w:rsidR="00B82BCE" w:rsidRPr="00605B6F" w:rsidRDefault="00B82BCE" w:rsidP="00F67957">
      <w:pPr>
        <w:pStyle w:val="Default"/>
        <w:rPr>
          <w:rFonts w:ascii="Times New Roman" w:hAnsi="Times New Roman" w:cs="Times New Roman"/>
          <w:color w:val="auto"/>
          <w:sz w:val="18"/>
          <w:szCs w:val="18"/>
          <w:lang w:val="fr-FR"/>
        </w:rPr>
      </w:pPr>
      <w:r w:rsidRPr="00605B6F">
        <w:rPr>
          <w:rStyle w:val="FootnoteReference"/>
          <w:rFonts w:ascii="Times New Roman" w:eastAsiaTheme="majorEastAsia" w:hAnsi="Times New Roman" w:cs="Times New Roman"/>
          <w:color w:val="auto"/>
          <w:sz w:val="18"/>
          <w:szCs w:val="18"/>
        </w:rPr>
        <w:footnoteRef/>
      </w:r>
      <w:r w:rsidRPr="00605B6F">
        <w:rPr>
          <w:rFonts w:ascii="Times New Roman" w:hAnsi="Times New Roman" w:cs="Times New Roman"/>
          <w:color w:val="auto"/>
          <w:sz w:val="18"/>
          <w:szCs w:val="18"/>
          <w:lang w:val="fr-FR"/>
        </w:rPr>
        <w:t xml:space="preserve"> : </w:t>
      </w:r>
      <w:hyperlink r:id="rId1" w:history="1">
        <w:r w:rsidRPr="00605B6F">
          <w:rPr>
            <w:rStyle w:val="Hyperlink"/>
            <w:rFonts w:ascii="Times New Roman" w:hAnsi="Times New Roman" w:cs="Times New Roman"/>
            <w:sz w:val="18"/>
            <w:szCs w:val="18"/>
            <w:lang w:val="fr-FR"/>
          </w:rPr>
          <w:t>https://donnees.banquemondiale.org/indicateur/SI.POV.DDAY?locations=BI</w:t>
        </w:r>
      </w:hyperlink>
      <w:r w:rsidRPr="00605B6F">
        <w:rPr>
          <w:rFonts w:ascii="Times New Roman" w:hAnsi="Times New Roman" w:cs="Times New Roman"/>
          <w:color w:val="auto"/>
          <w:sz w:val="18"/>
          <w:szCs w:val="18"/>
          <w:lang w:val="fr-FR"/>
        </w:rPr>
        <w:t xml:space="preserve"> ; </w:t>
      </w:r>
      <w:hyperlink r:id="rId2" w:history="1">
        <w:r w:rsidRPr="00605B6F">
          <w:rPr>
            <w:rStyle w:val="Hyperlink"/>
            <w:rFonts w:ascii="Times New Roman" w:hAnsi="Times New Roman" w:cs="Times New Roman"/>
            <w:sz w:val="18"/>
            <w:szCs w:val="18"/>
            <w:lang w:val="fr-FR"/>
          </w:rPr>
          <w:t>https://www.unicef.org/burundi/media/1161/file/Burundi:%20rapport%20sur%20la%20pauvret%C3%A9%20des%20enfants.pdf</w:t>
        </w:r>
      </w:hyperlink>
      <w:r w:rsidRPr="00605B6F">
        <w:rPr>
          <w:rFonts w:ascii="Times New Roman" w:hAnsi="Times New Roman" w:cs="Times New Roman"/>
          <w:color w:val="auto"/>
          <w:sz w:val="18"/>
          <w:szCs w:val="18"/>
          <w:lang w:val="fr-FR"/>
        </w:rPr>
        <w:t xml:space="preserve"> ; </w:t>
      </w:r>
    </w:p>
  </w:footnote>
  <w:footnote w:id="6">
    <w:p w14:paraId="35436F7C" w14:textId="3F0B6C97" w:rsidR="00B82BCE" w:rsidRPr="001B3777" w:rsidRDefault="00B82BCE">
      <w:pPr>
        <w:pStyle w:val="FootnoteText"/>
        <w:rPr>
          <w:lang w:val="fr-BE"/>
        </w:rPr>
      </w:pPr>
      <w:r>
        <w:rPr>
          <w:rStyle w:val="FootnoteReference"/>
        </w:rPr>
        <w:footnoteRef/>
      </w:r>
      <w:r w:rsidRPr="001B3777">
        <w:rPr>
          <w:lang w:val="fr-FR"/>
        </w:rPr>
        <w:t xml:space="preserve"> </w:t>
      </w:r>
      <w:r w:rsidR="002957EF">
        <w:fldChar w:fldCharType="begin"/>
      </w:r>
      <w:r w:rsidR="002957EF" w:rsidRPr="00AB2B27">
        <w:rPr>
          <w:lang w:val="fr-BE"/>
        </w:rPr>
        <w:instrText xml:space="preserve"> HYPERLINK "https://countrymeters.info/fr/Burundi" </w:instrText>
      </w:r>
      <w:r w:rsidR="002957EF">
        <w:fldChar w:fldCharType="separate"/>
      </w:r>
      <w:r w:rsidRPr="006B5844">
        <w:rPr>
          <w:rStyle w:val="Hyperlink"/>
          <w:sz w:val="18"/>
          <w:lang w:val="fr-FR"/>
        </w:rPr>
        <w:t>https://countrymeters.info/fr/Burundi</w:t>
      </w:r>
      <w:r w:rsidR="002957EF">
        <w:rPr>
          <w:rStyle w:val="Hyperlink"/>
          <w:sz w:val="18"/>
          <w:lang w:val="fr-FR"/>
        </w:rPr>
        <w:fldChar w:fldCharType="end"/>
      </w:r>
    </w:p>
  </w:footnote>
  <w:footnote w:id="7">
    <w:p w14:paraId="490FD288" w14:textId="4DCCA5E8" w:rsidR="00B82BCE" w:rsidRPr="001B3777" w:rsidRDefault="00B82BCE">
      <w:pPr>
        <w:pStyle w:val="FootnoteText"/>
        <w:rPr>
          <w:lang w:val="fr-BE"/>
        </w:rPr>
      </w:pPr>
      <w:r>
        <w:rPr>
          <w:rStyle w:val="FootnoteReference"/>
        </w:rPr>
        <w:footnoteRef/>
      </w:r>
      <w:r w:rsidRPr="001B3777">
        <w:rPr>
          <w:lang w:val="fr-BE"/>
        </w:rPr>
        <w:t xml:space="preserve"> </w:t>
      </w:r>
      <w:r w:rsidRPr="00C00614">
        <w:rPr>
          <w:rFonts w:eastAsiaTheme="minorHAnsi"/>
          <w:color w:val="000000"/>
          <w:sz w:val="18"/>
          <w:szCs w:val="18"/>
          <w:lang w:val="fr-FR"/>
        </w:rPr>
        <w:t xml:space="preserve">Source </w:t>
      </w:r>
      <w:proofErr w:type="spellStart"/>
      <w:r w:rsidRPr="00C00614">
        <w:rPr>
          <w:rFonts w:eastAsiaTheme="minorHAnsi"/>
          <w:color w:val="000000"/>
          <w:sz w:val="18"/>
          <w:szCs w:val="18"/>
          <w:lang w:val="fr-FR"/>
        </w:rPr>
        <w:t>ISTEEBU</w:t>
      </w:r>
      <w:proofErr w:type="spellEnd"/>
      <w:r w:rsidRPr="00C00614">
        <w:rPr>
          <w:rFonts w:eastAsiaTheme="minorHAnsi"/>
          <w:color w:val="000000"/>
          <w:sz w:val="18"/>
          <w:szCs w:val="18"/>
          <w:lang w:val="fr-FR"/>
        </w:rPr>
        <w:t>.</w:t>
      </w:r>
    </w:p>
  </w:footnote>
  <w:footnote w:id="8">
    <w:p w14:paraId="54491FC9" w14:textId="1E0F1FDF" w:rsidR="00B82BCE" w:rsidRPr="001B3777" w:rsidRDefault="00B82BCE">
      <w:pPr>
        <w:pStyle w:val="FootnoteText"/>
        <w:rPr>
          <w:lang w:val="fr-BE"/>
        </w:rPr>
      </w:pPr>
      <w:r>
        <w:rPr>
          <w:rStyle w:val="FootnoteReference"/>
        </w:rPr>
        <w:footnoteRef/>
      </w:r>
      <w:r w:rsidRPr="001B3777">
        <w:rPr>
          <w:lang w:val="fr-BE"/>
        </w:rPr>
        <w:t xml:space="preserve"> </w:t>
      </w:r>
      <w:r w:rsidRPr="00605B6F">
        <w:rPr>
          <w:sz w:val="18"/>
          <w:szCs w:val="18"/>
          <w:lang w:val="fr-FR"/>
        </w:rPr>
        <w:t>Enquête intégrée sur les conditions de vie des ménages au Burundi (</w:t>
      </w:r>
      <w:proofErr w:type="spellStart"/>
      <w:r w:rsidRPr="00605B6F">
        <w:rPr>
          <w:sz w:val="18"/>
          <w:szCs w:val="18"/>
          <w:lang w:val="fr-FR"/>
        </w:rPr>
        <w:t>EICVMB</w:t>
      </w:r>
      <w:proofErr w:type="spellEnd"/>
      <w:r w:rsidRPr="00605B6F">
        <w:rPr>
          <w:sz w:val="18"/>
          <w:szCs w:val="18"/>
          <w:lang w:val="fr-FR"/>
        </w:rPr>
        <w:t xml:space="preserve">) 2019-2020, </w:t>
      </w:r>
      <w:proofErr w:type="spellStart"/>
      <w:r w:rsidRPr="00605B6F">
        <w:rPr>
          <w:sz w:val="18"/>
          <w:szCs w:val="18"/>
          <w:lang w:val="fr-FR"/>
        </w:rPr>
        <w:t>ISTEEBU</w:t>
      </w:r>
      <w:proofErr w:type="spellEnd"/>
      <w:r w:rsidRPr="00605B6F">
        <w:rPr>
          <w:sz w:val="18"/>
          <w:szCs w:val="18"/>
          <w:lang w:val="fr-FR"/>
        </w:rPr>
        <w:t>. Population burundaise 12,3 millions de personnes (50,4 % de femmes). Structure démographique caractérisée par son extrême jeunesse : 44 % de la</w:t>
      </w:r>
      <w:r w:rsidRPr="00C00614">
        <w:rPr>
          <w:sz w:val="18"/>
          <w:szCs w:val="18"/>
          <w:lang w:val="fr-FR"/>
        </w:rPr>
        <w:t xml:space="preserve"> population à moins de 15 ans ; 47 % de moins de 18 ans, 65 % de la population de moins de 25 ans.</w:t>
      </w:r>
    </w:p>
  </w:footnote>
  <w:footnote w:id="9">
    <w:p w14:paraId="2D5400E9" w14:textId="77777777" w:rsidR="00B82BCE" w:rsidRPr="00605B6F" w:rsidRDefault="00B82BCE" w:rsidP="00B10568">
      <w:pPr>
        <w:pStyle w:val="FootnoteText"/>
        <w:rPr>
          <w:sz w:val="18"/>
          <w:szCs w:val="18"/>
          <w:lang w:val="fr-FR"/>
        </w:rPr>
      </w:pPr>
      <w:r w:rsidRPr="00605B6F">
        <w:rPr>
          <w:rStyle w:val="FootnoteReference"/>
          <w:sz w:val="18"/>
          <w:szCs w:val="18"/>
        </w:rPr>
        <w:footnoteRef/>
      </w:r>
      <w:r w:rsidRPr="00605B6F">
        <w:rPr>
          <w:sz w:val="18"/>
          <w:szCs w:val="18"/>
          <w:lang w:val="fr-FR"/>
        </w:rPr>
        <w:t> :</w:t>
      </w:r>
      <w:r w:rsidRPr="00605B6F">
        <w:rPr>
          <w:w w:val="105"/>
          <w:sz w:val="18"/>
          <w:szCs w:val="18"/>
          <w:lang w:val="fr-FR"/>
        </w:rPr>
        <w:t xml:space="preserve"> La</w:t>
      </w:r>
      <w:r w:rsidRPr="00605B6F">
        <w:rPr>
          <w:spacing w:val="-4"/>
          <w:w w:val="105"/>
          <w:sz w:val="18"/>
          <w:szCs w:val="18"/>
          <w:lang w:val="fr-FR"/>
        </w:rPr>
        <w:t xml:space="preserve"> </w:t>
      </w:r>
      <w:r w:rsidRPr="00605B6F">
        <w:rPr>
          <w:w w:val="105"/>
          <w:sz w:val="18"/>
          <w:szCs w:val="18"/>
          <w:lang w:val="fr-FR"/>
        </w:rPr>
        <w:t>population</w:t>
      </w:r>
      <w:r w:rsidRPr="00605B6F">
        <w:rPr>
          <w:spacing w:val="-9"/>
          <w:w w:val="105"/>
          <w:sz w:val="18"/>
          <w:szCs w:val="18"/>
          <w:lang w:val="fr-FR"/>
        </w:rPr>
        <w:t xml:space="preserve"> </w:t>
      </w:r>
      <w:r w:rsidRPr="00605B6F">
        <w:rPr>
          <w:w w:val="105"/>
          <w:sz w:val="18"/>
          <w:szCs w:val="18"/>
          <w:lang w:val="fr-FR"/>
        </w:rPr>
        <w:t>est</w:t>
      </w:r>
      <w:r w:rsidRPr="00605B6F">
        <w:rPr>
          <w:spacing w:val="-7"/>
          <w:w w:val="105"/>
          <w:sz w:val="18"/>
          <w:szCs w:val="18"/>
          <w:lang w:val="fr-FR"/>
        </w:rPr>
        <w:t xml:space="preserve"> </w:t>
      </w:r>
      <w:r w:rsidRPr="00605B6F">
        <w:rPr>
          <w:w w:val="105"/>
          <w:sz w:val="18"/>
          <w:szCs w:val="18"/>
          <w:lang w:val="fr-FR"/>
        </w:rPr>
        <w:t>passée</w:t>
      </w:r>
      <w:r w:rsidRPr="00605B6F">
        <w:rPr>
          <w:spacing w:val="-50"/>
          <w:w w:val="105"/>
          <w:sz w:val="18"/>
          <w:szCs w:val="18"/>
          <w:lang w:val="fr-FR"/>
        </w:rPr>
        <w:t xml:space="preserve"> </w:t>
      </w:r>
      <w:r w:rsidRPr="00605B6F">
        <w:rPr>
          <w:sz w:val="18"/>
          <w:szCs w:val="18"/>
          <w:lang w:val="fr-FR"/>
        </w:rPr>
        <w:t>de 10,2 millions en 2015 à 11,9 millions en 2020 puis à 12,3 millions en 2022).</w:t>
      </w:r>
    </w:p>
  </w:footnote>
  <w:footnote w:id="10">
    <w:p w14:paraId="0F08E3AB" w14:textId="6FA94605" w:rsidR="00B82BCE" w:rsidRPr="001B3777" w:rsidRDefault="00B82BCE">
      <w:pPr>
        <w:pStyle w:val="FootnoteText"/>
        <w:rPr>
          <w:lang w:val="fr-BE"/>
        </w:rPr>
      </w:pPr>
      <w:r>
        <w:rPr>
          <w:rStyle w:val="FootnoteReference"/>
        </w:rPr>
        <w:footnoteRef/>
      </w:r>
      <w:r w:rsidRPr="001B3777">
        <w:rPr>
          <w:lang w:val="fr-BE"/>
        </w:rPr>
        <w:t xml:space="preserve"> </w:t>
      </w:r>
      <w:r w:rsidRPr="00C00614">
        <w:rPr>
          <w:rFonts w:eastAsiaTheme="minorHAnsi"/>
          <w:color w:val="000000"/>
          <w:sz w:val="18"/>
          <w:szCs w:val="18"/>
          <w:lang w:val="fr-FR"/>
        </w:rPr>
        <w:t>Rapport sur le Développement Humain 2021/2022, PNUD</w:t>
      </w:r>
      <w:r>
        <w:rPr>
          <w:rFonts w:eastAsiaTheme="minorHAnsi"/>
          <w:color w:val="000000"/>
          <w:sz w:val="18"/>
          <w:szCs w:val="18"/>
          <w:lang w:val="fr-FR"/>
        </w:rPr>
        <w:t xml:space="preserve">. La </w:t>
      </w:r>
      <w:proofErr w:type="spellStart"/>
      <w:r>
        <w:rPr>
          <w:rFonts w:eastAsiaTheme="minorHAnsi"/>
          <w:color w:val="000000"/>
          <w:sz w:val="18"/>
          <w:szCs w:val="18"/>
          <w:lang w:val="fr-FR"/>
        </w:rPr>
        <w:t>BM</w:t>
      </w:r>
      <w:proofErr w:type="spellEnd"/>
      <w:r>
        <w:rPr>
          <w:rFonts w:eastAsiaTheme="minorHAnsi"/>
          <w:color w:val="000000"/>
          <w:sz w:val="18"/>
          <w:szCs w:val="18"/>
          <w:lang w:val="fr-FR"/>
        </w:rPr>
        <w:t xml:space="preserve"> estime de son </w:t>
      </w:r>
      <w:proofErr w:type="spellStart"/>
      <w:r>
        <w:rPr>
          <w:rFonts w:eastAsiaTheme="minorHAnsi"/>
          <w:color w:val="000000"/>
          <w:sz w:val="18"/>
          <w:szCs w:val="18"/>
          <w:lang w:val="fr-FR"/>
        </w:rPr>
        <w:t>coté</w:t>
      </w:r>
      <w:proofErr w:type="spellEnd"/>
      <w:r>
        <w:rPr>
          <w:rFonts w:eastAsiaTheme="minorHAnsi"/>
          <w:color w:val="000000"/>
          <w:sz w:val="18"/>
          <w:szCs w:val="18"/>
          <w:lang w:val="fr-FR"/>
        </w:rPr>
        <w:t xml:space="preserve"> que </w:t>
      </w:r>
      <w:r w:rsidRPr="00157794">
        <w:rPr>
          <w:rFonts w:eastAsiaTheme="minorHAnsi"/>
          <w:color w:val="000000"/>
          <w:sz w:val="18"/>
          <w:szCs w:val="18"/>
          <w:lang w:val="fr-FR"/>
        </w:rPr>
        <w:t xml:space="preserve">85% de la population </w:t>
      </w:r>
      <w:r>
        <w:rPr>
          <w:rFonts w:eastAsiaTheme="minorHAnsi"/>
          <w:color w:val="000000"/>
          <w:sz w:val="18"/>
          <w:szCs w:val="18"/>
          <w:lang w:val="fr-FR"/>
        </w:rPr>
        <w:t xml:space="preserve">vit en dessous du seuil de pauvreté </w:t>
      </w:r>
      <w:r w:rsidRPr="00157794">
        <w:rPr>
          <w:rFonts w:eastAsiaTheme="minorHAnsi"/>
          <w:color w:val="000000"/>
          <w:sz w:val="18"/>
          <w:szCs w:val="18"/>
          <w:lang w:val="fr-FR"/>
        </w:rPr>
        <w:t>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ECE6" w14:textId="77777777" w:rsidR="00AB2B27" w:rsidRDefault="00AB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3A5E" w14:textId="62CF6A1D" w:rsidR="00B82BCE" w:rsidRDefault="00B82BCE">
    <w:pPr>
      <w:pStyle w:val="Header"/>
    </w:pPr>
    <w:r>
      <w:rPr>
        <w:noProof/>
        <w:lang w:val="en-GB" w:eastAsia="en-GB"/>
      </w:rPr>
      <mc:AlternateContent>
        <mc:Choice Requires="wps">
          <w:drawing>
            <wp:anchor distT="0" distB="0" distL="114300" distR="114300" simplePos="0" relativeHeight="486922752" behindDoc="1" locked="0" layoutInCell="1" allowOverlap="1" wp14:anchorId="3AB0D5CB" wp14:editId="6094BDD9">
              <wp:simplePos x="0" y="0"/>
              <wp:positionH relativeFrom="page">
                <wp:posOffset>1162050</wp:posOffset>
              </wp:positionH>
              <wp:positionV relativeFrom="topMargin">
                <wp:align>bottom</wp:align>
              </wp:positionV>
              <wp:extent cx="5295900" cy="298450"/>
              <wp:effectExtent l="0" t="0" r="0" b="635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06C7" w14:textId="7D49FAAA" w:rsidR="00B82BCE" w:rsidRDefault="00B82BCE" w:rsidP="00BF2A8E">
                          <w:pPr>
                            <w:spacing w:before="11"/>
                            <w:ind w:left="20"/>
                            <w:rPr>
                              <w:i/>
                              <w:sz w:val="17"/>
                            </w:rPr>
                          </w:pPr>
                          <w:r>
                            <w:rPr>
                              <w:i/>
                              <w:sz w:val="17"/>
                            </w:rPr>
                            <w:t>Note</w:t>
                          </w:r>
                          <w:r>
                            <w:rPr>
                              <w:i/>
                              <w:spacing w:val="-5"/>
                              <w:sz w:val="17"/>
                            </w:rPr>
                            <w:t xml:space="preserve"> </w:t>
                          </w:r>
                          <w:r>
                            <w:rPr>
                              <w:i/>
                              <w:sz w:val="17"/>
                            </w:rPr>
                            <w:t>de</w:t>
                          </w:r>
                          <w:r>
                            <w:rPr>
                              <w:i/>
                              <w:spacing w:val="-3"/>
                              <w:sz w:val="17"/>
                            </w:rPr>
                            <w:t xml:space="preserve"> </w:t>
                          </w:r>
                          <w:r>
                            <w:rPr>
                              <w:i/>
                              <w:sz w:val="17"/>
                            </w:rPr>
                            <w:t>cadrage:</w:t>
                          </w:r>
                          <w:r>
                            <w:rPr>
                              <w:i/>
                              <w:spacing w:val="-6"/>
                              <w:sz w:val="17"/>
                            </w:rPr>
                            <w:t xml:space="preserve"> </w:t>
                          </w:r>
                          <w:r w:rsidRPr="0030116C">
                            <w:rPr>
                              <w:i/>
                              <w:spacing w:val="-6"/>
                              <w:sz w:val="17"/>
                            </w:rPr>
                            <w:t xml:space="preserve">NDICI AFRICA/2023/045-218 (EC) </w:t>
                          </w:r>
                          <w:r w:rsidRPr="009D1EFA">
                            <w:rPr>
                              <w:i/>
                              <w:sz w:val="17"/>
                            </w:rPr>
                            <w:t>Programme de promotion de la culture démocratique et renforcement de l’état de droit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D5CB" id="_x0000_t202" coordsize="21600,21600" o:spt="202" path="m,l,21600r21600,l21600,xe">
              <v:stroke joinstyle="miter"/>
              <v:path gradientshapeok="t" o:connecttype="rect"/>
            </v:shapetype>
            <v:shape id="Text Box 35" o:spid="_x0000_s1026" type="#_x0000_t202" style="position:absolute;margin-left:91.5pt;margin-top:0;width:417pt;height:23.5pt;z-index:-1639372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dv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" filled="f" stroked="f">
              <v:textbox inset="0,0,0,0">
                <w:txbxContent>
                  <w:p w14:paraId="739506C7" w14:textId="7D49FAAA" w:rsidR="00B82BCE" w:rsidRDefault="00B82BCE" w:rsidP="00BF2A8E">
                    <w:pPr>
                      <w:spacing w:before="11"/>
                      <w:ind w:left="20"/>
                      <w:rPr>
                        <w:i/>
                        <w:sz w:val="17"/>
                      </w:rPr>
                    </w:pPr>
                    <w:r>
                      <w:rPr>
                        <w:i/>
                        <w:sz w:val="17"/>
                      </w:rPr>
                      <w:t>Note</w:t>
                    </w:r>
                    <w:r>
                      <w:rPr>
                        <w:i/>
                        <w:spacing w:val="-5"/>
                        <w:sz w:val="17"/>
                      </w:rPr>
                      <w:t xml:space="preserve"> </w:t>
                    </w:r>
                    <w:r>
                      <w:rPr>
                        <w:i/>
                        <w:sz w:val="17"/>
                      </w:rPr>
                      <w:t>de</w:t>
                    </w:r>
                    <w:r>
                      <w:rPr>
                        <w:i/>
                        <w:spacing w:val="-3"/>
                        <w:sz w:val="17"/>
                      </w:rPr>
                      <w:t xml:space="preserve"> </w:t>
                    </w:r>
                    <w:r>
                      <w:rPr>
                        <w:i/>
                        <w:sz w:val="17"/>
                      </w:rPr>
                      <w:t>cadrage:</w:t>
                    </w:r>
                    <w:r>
                      <w:rPr>
                        <w:i/>
                        <w:spacing w:val="-6"/>
                        <w:sz w:val="17"/>
                      </w:rPr>
                      <w:t xml:space="preserve"> </w:t>
                    </w:r>
                    <w:r w:rsidRPr="0030116C">
                      <w:rPr>
                        <w:i/>
                        <w:spacing w:val="-6"/>
                        <w:sz w:val="17"/>
                      </w:rPr>
                      <w:t xml:space="preserve">NDICI AFRICA/2023/045-218 (EC) </w:t>
                    </w:r>
                    <w:r w:rsidRPr="009D1EFA">
                      <w:rPr>
                        <w:i/>
                        <w:sz w:val="17"/>
                      </w:rPr>
                      <w:t>Programme de promotion de la culture démocratique et renforcement de l’état de droit</w:t>
                    </w:r>
                  </w:p>
                </w:txbxContent>
              </v:textbox>
              <w10:wrap anchorx="page" anchory="margin"/>
            </v:shape>
          </w:pict>
        </mc:Fallback>
      </mc:AlternateContent>
    </w:r>
  </w:p>
  <w:p w14:paraId="19FAF6D3" w14:textId="77777777" w:rsidR="00B82BCE" w:rsidRDefault="00B82B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B69C" w14:textId="77777777" w:rsidR="00AB2B27" w:rsidRDefault="00AB2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43CF" w14:textId="09636F8D" w:rsidR="00B82BCE" w:rsidRDefault="00B82BCE">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4C10" w14:textId="15C99623" w:rsidR="00B82BCE" w:rsidRPr="00A0780B" w:rsidRDefault="00B82BCE" w:rsidP="005B22BD">
    <w:pPr>
      <w:pStyle w:val="Header"/>
      <w:rPr>
        <w:lang w:val="fr-BE"/>
      </w:rPr>
    </w:pPr>
    <w:r>
      <w:rPr>
        <w:lang w:val="fr-BE"/>
      </w:rPr>
      <w:t xml:space="preserve">ANNEXE I CADRE LOGIQUE (de référence) </w:t>
    </w:r>
    <w:r w:rsidRPr="00A0780B">
      <w:rPr>
        <w:lang w:val="fr-BE"/>
      </w:rPr>
      <w:t>Programme de promotion de la culture démocratique et renforcement de l’état de droit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27"/>
    <w:multiLevelType w:val="multilevel"/>
    <w:tmpl w:val="7EC4B91E"/>
    <w:lvl w:ilvl="0">
      <w:start w:val="1"/>
      <w:numFmt w:val="decimal"/>
      <w:lvlText w:val="%1"/>
      <w:lvlJc w:val="left"/>
      <w:pPr>
        <w:ind w:left="292" w:hanging="360"/>
      </w:pPr>
      <w:rPr>
        <w:rFonts w:hint="default"/>
      </w:rPr>
    </w:lvl>
    <w:lvl w:ilvl="1">
      <w:start w:val="1"/>
      <w:numFmt w:val="decimal"/>
      <w:lvlText w:val="OS %2."/>
      <w:lvlJc w:val="left"/>
      <w:pPr>
        <w:ind w:left="1012" w:hanging="360"/>
      </w:pPr>
      <w:rPr>
        <w:rFonts w:hint="default"/>
        <w:b/>
      </w:rPr>
    </w:lvl>
    <w:lvl w:ilvl="2">
      <w:start w:val="1"/>
      <w:numFmt w:val="decimal"/>
      <w:lvlText w:val="%1.%2.%3"/>
      <w:lvlJc w:val="left"/>
      <w:pPr>
        <w:ind w:left="2092" w:hanging="720"/>
      </w:pPr>
      <w:rPr>
        <w:rFonts w:hint="default"/>
      </w:rPr>
    </w:lvl>
    <w:lvl w:ilvl="3">
      <w:start w:val="1"/>
      <w:numFmt w:val="decimal"/>
      <w:lvlText w:val="%1.%2.%3.%4"/>
      <w:lvlJc w:val="left"/>
      <w:pPr>
        <w:ind w:left="2812"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612"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12" w:hanging="1440"/>
      </w:pPr>
      <w:rPr>
        <w:rFonts w:hint="default"/>
      </w:rPr>
    </w:lvl>
    <w:lvl w:ilvl="8">
      <w:start w:val="1"/>
      <w:numFmt w:val="decimal"/>
      <w:lvlText w:val="%1.%2.%3.%4.%5.%6.%7.%8.%9"/>
      <w:lvlJc w:val="left"/>
      <w:pPr>
        <w:ind w:left="7132" w:hanging="1440"/>
      </w:pPr>
      <w:rPr>
        <w:rFonts w:hint="default"/>
      </w:rPr>
    </w:lvl>
  </w:abstractNum>
  <w:abstractNum w:abstractNumId="1" w15:restartNumberingAfterBreak="0">
    <w:nsid w:val="03934747"/>
    <w:multiLevelType w:val="multilevel"/>
    <w:tmpl w:val="7EC4B91E"/>
    <w:lvl w:ilvl="0">
      <w:start w:val="1"/>
      <w:numFmt w:val="decimal"/>
      <w:lvlText w:val="%1"/>
      <w:lvlJc w:val="left"/>
      <w:pPr>
        <w:ind w:left="292" w:hanging="360"/>
      </w:pPr>
      <w:rPr>
        <w:rFonts w:hint="default"/>
      </w:rPr>
    </w:lvl>
    <w:lvl w:ilvl="1">
      <w:start w:val="1"/>
      <w:numFmt w:val="decimal"/>
      <w:lvlText w:val="OS %2."/>
      <w:lvlJc w:val="left"/>
      <w:pPr>
        <w:ind w:left="1012" w:hanging="360"/>
      </w:pPr>
      <w:rPr>
        <w:rFonts w:hint="default"/>
        <w:b/>
      </w:rPr>
    </w:lvl>
    <w:lvl w:ilvl="2">
      <w:start w:val="1"/>
      <w:numFmt w:val="decimal"/>
      <w:lvlText w:val="%1.%2.%3"/>
      <w:lvlJc w:val="left"/>
      <w:pPr>
        <w:ind w:left="2092" w:hanging="720"/>
      </w:pPr>
      <w:rPr>
        <w:rFonts w:hint="default"/>
      </w:rPr>
    </w:lvl>
    <w:lvl w:ilvl="3">
      <w:start w:val="1"/>
      <w:numFmt w:val="decimal"/>
      <w:lvlText w:val="%1.%2.%3.%4"/>
      <w:lvlJc w:val="left"/>
      <w:pPr>
        <w:ind w:left="2812"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612"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12" w:hanging="1440"/>
      </w:pPr>
      <w:rPr>
        <w:rFonts w:hint="default"/>
      </w:rPr>
    </w:lvl>
    <w:lvl w:ilvl="8">
      <w:start w:val="1"/>
      <w:numFmt w:val="decimal"/>
      <w:lvlText w:val="%1.%2.%3.%4.%5.%6.%7.%8.%9"/>
      <w:lvlJc w:val="left"/>
      <w:pPr>
        <w:ind w:left="7132" w:hanging="1440"/>
      </w:pPr>
      <w:rPr>
        <w:rFonts w:hint="default"/>
      </w:rPr>
    </w:lvl>
  </w:abstractNum>
  <w:abstractNum w:abstractNumId="2" w15:restartNumberingAfterBreak="0">
    <w:nsid w:val="09497437"/>
    <w:multiLevelType w:val="multilevel"/>
    <w:tmpl w:val="B37ADC9C"/>
    <w:lvl w:ilvl="0">
      <w:start w:val="1"/>
      <w:numFmt w:val="decimal"/>
      <w:lvlText w:val="%1."/>
      <w:lvlJc w:val="left"/>
      <w:pPr>
        <w:ind w:left="360" w:hanging="360"/>
      </w:pPr>
      <w:rPr>
        <w:rFonts w:hint="default"/>
        <w:b/>
        <w:color w:val="auto"/>
        <w:sz w:val="28"/>
        <w:szCs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AE11A48"/>
    <w:multiLevelType w:val="multilevel"/>
    <w:tmpl w:val="F3685C5A"/>
    <w:lvl w:ilvl="0">
      <w:start w:val="1"/>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E66B16"/>
    <w:multiLevelType w:val="multilevel"/>
    <w:tmpl w:val="7EC4B91E"/>
    <w:lvl w:ilvl="0">
      <w:start w:val="1"/>
      <w:numFmt w:val="decimal"/>
      <w:lvlText w:val="%1"/>
      <w:lvlJc w:val="left"/>
      <w:pPr>
        <w:ind w:left="5889" w:hanging="360"/>
      </w:pPr>
      <w:rPr>
        <w:rFonts w:hint="default"/>
      </w:rPr>
    </w:lvl>
    <w:lvl w:ilvl="1">
      <w:start w:val="1"/>
      <w:numFmt w:val="decimal"/>
      <w:lvlText w:val="OS %2."/>
      <w:lvlJc w:val="left"/>
      <w:pPr>
        <w:ind w:left="6609" w:hanging="360"/>
      </w:pPr>
      <w:rPr>
        <w:rFonts w:hint="default"/>
        <w:b/>
      </w:rPr>
    </w:lvl>
    <w:lvl w:ilvl="2">
      <w:start w:val="1"/>
      <w:numFmt w:val="decimal"/>
      <w:lvlText w:val="%1.%2.%3"/>
      <w:lvlJc w:val="left"/>
      <w:pPr>
        <w:ind w:left="7689" w:hanging="720"/>
      </w:pPr>
      <w:rPr>
        <w:rFonts w:hint="default"/>
      </w:rPr>
    </w:lvl>
    <w:lvl w:ilvl="3">
      <w:start w:val="1"/>
      <w:numFmt w:val="decimal"/>
      <w:lvlText w:val="%1.%2.%3.%4"/>
      <w:lvlJc w:val="left"/>
      <w:pPr>
        <w:ind w:left="8409" w:hanging="720"/>
      </w:pPr>
      <w:rPr>
        <w:rFonts w:hint="default"/>
      </w:rPr>
    </w:lvl>
    <w:lvl w:ilvl="4">
      <w:start w:val="1"/>
      <w:numFmt w:val="decimal"/>
      <w:lvlText w:val="%1.%2.%3.%4.%5"/>
      <w:lvlJc w:val="left"/>
      <w:pPr>
        <w:ind w:left="9489" w:hanging="1080"/>
      </w:pPr>
      <w:rPr>
        <w:rFonts w:hint="default"/>
      </w:rPr>
    </w:lvl>
    <w:lvl w:ilvl="5">
      <w:start w:val="1"/>
      <w:numFmt w:val="decimal"/>
      <w:lvlText w:val="%1.%2.%3.%4.%5.%6"/>
      <w:lvlJc w:val="left"/>
      <w:pPr>
        <w:ind w:left="10209" w:hanging="1080"/>
      </w:pPr>
      <w:rPr>
        <w:rFonts w:hint="default"/>
      </w:rPr>
    </w:lvl>
    <w:lvl w:ilvl="6">
      <w:start w:val="1"/>
      <w:numFmt w:val="decimal"/>
      <w:lvlText w:val="%1.%2.%3.%4.%5.%6.%7"/>
      <w:lvlJc w:val="left"/>
      <w:pPr>
        <w:ind w:left="11289" w:hanging="1440"/>
      </w:pPr>
      <w:rPr>
        <w:rFonts w:hint="default"/>
      </w:rPr>
    </w:lvl>
    <w:lvl w:ilvl="7">
      <w:start w:val="1"/>
      <w:numFmt w:val="decimal"/>
      <w:lvlText w:val="%1.%2.%3.%4.%5.%6.%7.%8"/>
      <w:lvlJc w:val="left"/>
      <w:pPr>
        <w:ind w:left="12009" w:hanging="1440"/>
      </w:pPr>
      <w:rPr>
        <w:rFonts w:hint="default"/>
      </w:rPr>
    </w:lvl>
    <w:lvl w:ilvl="8">
      <w:start w:val="1"/>
      <w:numFmt w:val="decimal"/>
      <w:lvlText w:val="%1.%2.%3.%4.%5.%6.%7.%8.%9"/>
      <w:lvlJc w:val="left"/>
      <w:pPr>
        <w:ind w:left="12729" w:hanging="1440"/>
      </w:pPr>
      <w:rPr>
        <w:rFonts w:hint="default"/>
      </w:rPr>
    </w:lvl>
  </w:abstractNum>
  <w:abstractNum w:abstractNumId="5" w15:restartNumberingAfterBreak="0">
    <w:nsid w:val="16475860"/>
    <w:multiLevelType w:val="hybridMultilevel"/>
    <w:tmpl w:val="042C6ECA"/>
    <w:lvl w:ilvl="0" w:tplc="6D4C939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531C2"/>
    <w:multiLevelType w:val="multilevel"/>
    <w:tmpl w:val="B650977A"/>
    <w:lvl w:ilvl="0">
      <w:start w:val="1"/>
      <w:numFmt w:val="decimal"/>
      <w:lvlText w:val="%1"/>
      <w:lvlJc w:val="left"/>
      <w:pPr>
        <w:ind w:left="292" w:hanging="360"/>
      </w:pPr>
      <w:rPr>
        <w:rFonts w:hint="default"/>
      </w:rPr>
    </w:lvl>
    <w:lvl w:ilvl="1">
      <w:start w:val="1"/>
      <w:numFmt w:val="bullet"/>
      <w:lvlText w:val=""/>
      <w:lvlJc w:val="left"/>
      <w:pPr>
        <w:ind w:left="1012" w:hanging="360"/>
      </w:pPr>
      <w:rPr>
        <w:rFonts w:ascii="Wingdings" w:hAnsi="Wingdings" w:hint="default"/>
        <w:b/>
      </w:rPr>
    </w:lvl>
    <w:lvl w:ilvl="2">
      <w:start w:val="1"/>
      <w:numFmt w:val="decimal"/>
      <w:lvlText w:val="%1.%2.%3"/>
      <w:lvlJc w:val="left"/>
      <w:pPr>
        <w:ind w:left="2092" w:hanging="720"/>
      </w:pPr>
      <w:rPr>
        <w:rFonts w:hint="default"/>
      </w:rPr>
    </w:lvl>
    <w:lvl w:ilvl="3">
      <w:start w:val="1"/>
      <w:numFmt w:val="decimal"/>
      <w:lvlText w:val="%1.%2.%3.%4"/>
      <w:lvlJc w:val="left"/>
      <w:pPr>
        <w:ind w:left="2812"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612"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12" w:hanging="1440"/>
      </w:pPr>
      <w:rPr>
        <w:rFonts w:hint="default"/>
      </w:rPr>
    </w:lvl>
    <w:lvl w:ilvl="8">
      <w:start w:val="1"/>
      <w:numFmt w:val="decimal"/>
      <w:lvlText w:val="%1.%2.%3.%4.%5.%6.%7.%8.%9"/>
      <w:lvlJc w:val="left"/>
      <w:pPr>
        <w:ind w:left="7132" w:hanging="1440"/>
      </w:pPr>
      <w:rPr>
        <w:rFonts w:hint="default"/>
      </w:rPr>
    </w:lvl>
  </w:abstractNum>
  <w:abstractNum w:abstractNumId="7" w15:restartNumberingAfterBreak="0">
    <w:nsid w:val="1A712573"/>
    <w:multiLevelType w:val="multilevel"/>
    <w:tmpl w:val="7EC4B91E"/>
    <w:lvl w:ilvl="0">
      <w:start w:val="1"/>
      <w:numFmt w:val="decimal"/>
      <w:lvlText w:val="%1"/>
      <w:lvlJc w:val="left"/>
      <w:pPr>
        <w:ind w:left="292" w:hanging="360"/>
      </w:pPr>
      <w:rPr>
        <w:rFonts w:hint="default"/>
      </w:rPr>
    </w:lvl>
    <w:lvl w:ilvl="1">
      <w:start w:val="1"/>
      <w:numFmt w:val="decimal"/>
      <w:lvlText w:val="OS %2."/>
      <w:lvlJc w:val="left"/>
      <w:pPr>
        <w:ind w:left="1012" w:hanging="360"/>
      </w:pPr>
      <w:rPr>
        <w:rFonts w:hint="default"/>
        <w:b/>
      </w:rPr>
    </w:lvl>
    <w:lvl w:ilvl="2">
      <w:start w:val="1"/>
      <w:numFmt w:val="decimal"/>
      <w:lvlText w:val="%1.%2.%3"/>
      <w:lvlJc w:val="left"/>
      <w:pPr>
        <w:ind w:left="2092" w:hanging="720"/>
      </w:pPr>
      <w:rPr>
        <w:rFonts w:hint="default"/>
      </w:rPr>
    </w:lvl>
    <w:lvl w:ilvl="3">
      <w:start w:val="1"/>
      <w:numFmt w:val="decimal"/>
      <w:lvlText w:val="%1.%2.%3.%4"/>
      <w:lvlJc w:val="left"/>
      <w:pPr>
        <w:ind w:left="2812"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612"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12" w:hanging="1440"/>
      </w:pPr>
      <w:rPr>
        <w:rFonts w:hint="default"/>
      </w:rPr>
    </w:lvl>
    <w:lvl w:ilvl="8">
      <w:start w:val="1"/>
      <w:numFmt w:val="decimal"/>
      <w:lvlText w:val="%1.%2.%3.%4.%5.%6.%7.%8.%9"/>
      <w:lvlJc w:val="left"/>
      <w:pPr>
        <w:ind w:left="7132" w:hanging="1440"/>
      </w:pPr>
      <w:rPr>
        <w:rFonts w:hint="default"/>
      </w:rPr>
    </w:lvl>
  </w:abstractNum>
  <w:abstractNum w:abstractNumId="8" w15:restartNumberingAfterBreak="0">
    <w:nsid w:val="1D322C6B"/>
    <w:multiLevelType w:val="multilevel"/>
    <w:tmpl w:val="B650977A"/>
    <w:lvl w:ilvl="0">
      <w:start w:val="1"/>
      <w:numFmt w:val="decimal"/>
      <w:lvlText w:val="%1"/>
      <w:lvlJc w:val="left"/>
      <w:pPr>
        <w:ind w:left="292" w:hanging="360"/>
      </w:pPr>
      <w:rPr>
        <w:rFonts w:hint="default"/>
      </w:rPr>
    </w:lvl>
    <w:lvl w:ilvl="1">
      <w:start w:val="1"/>
      <w:numFmt w:val="bullet"/>
      <w:lvlText w:val=""/>
      <w:lvlJc w:val="left"/>
      <w:pPr>
        <w:ind w:left="1012" w:hanging="360"/>
      </w:pPr>
      <w:rPr>
        <w:rFonts w:ascii="Wingdings" w:hAnsi="Wingdings" w:hint="default"/>
        <w:b/>
      </w:rPr>
    </w:lvl>
    <w:lvl w:ilvl="2">
      <w:start w:val="1"/>
      <w:numFmt w:val="decimal"/>
      <w:lvlText w:val="%1.%2.%3"/>
      <w:lvlJc w:val="left"/>
      <w:pPr>
        <w:ind w:left="2092" w:hanging="720"/>
      </w:pPr>
      <w:rPr>
        <w:rFonts w:hint="default"/>
      </w:rPr>
    </w:lvl>
    <w:lvl w:ilvl="3">
      <w:start w:val="1"/>
      <w:numFmt w:val="decimal"/>
      <w:lvlText w:val="%1.%2.%3.%4"/>
      <w:lvlJc w:val="left"/>
      <w:pPr>
        <w:ind w:left="2812"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612"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12" w:hanging="1440"/>
      </w:pPr>
      <w:rPr>
        <w:rFonts w:hint="default"/>
      </w:rPr>
    </w:lvl>
    <w:lvl w:ilvl="8">
      <w:start w:val="1"/>
      <w:numFmt w:val="decimal"/>
      <w:lvlText w:val="%1.%2.%3.%4.%5.%6.%7.%8.%9"/>
      <w:lvlJc w:val="left"/>
      <w:pPr>
        <w:ind w:left="7132" w:hanging="1440"/>
      </w:pPr>
      <w:rPr>
        <w:rFonts w:hint="default"/>
      </w:rPr>
    </w:lvl>
  </w:abstractNum>
  <w:abstractNum w:abstractNumId="9" w15:restartNumberingAfterBreak="0">
    <w:nsid w:val="1DE21B8B"/>
    <w:multiLevelType w:val="multilevel"/>
    <w:tmpl w:val="11683B46"/>
    <w:lvl w:ilvl="0">
      <w:start w:val="3"/>
      <w:numFmt w:val="decimal"/>
      <w:lvlText w:val="%1."/>
      <w:lvlJc w:val="left"/>
      <w:pPr>
        <w:ind w:left="360" w:hanging="360"/>
      </w:pPr>
      <w:rPr>
        <w:rFonts w:hint="default"/>
        <w:b/>
        <w:color w:val="365F91" w:themeColor="accent1" w:themeShade="B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EB53D92"/>
    <w:multiLevelType w:val="hybridMultilevel"/>
    <w:tmpl w:val="4858E12A"/>
    <w:lvl w:ilvl="0" w:tplc="89A886B4">
      <w:start w:val="5"/>
      <w:numFmt w:val="decimal"/>
      <w:lvlText w:val="%1."/>
      <w:lvlJc w:val="left"/>
      <w:pPr>
        <w:ind w:left="477" w:hanging="360"/>
      </w:pPr>
      <w:rPr>
        <w:rFonts w:hint="default"/>
        <w:sz w:val="28"/>
        <w:szCs w:val="28"/>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1" w15:restartNumberingAfterBreak="0">
    <w:nsid w:val="2376243B"/>
    <w:multiLevelType w:val="hybridMultilevel"/>
    <w:tmpl w:val="936ADA2A"/>
    <w:lvl w:ilvl="0" w:tplc="A24E2C5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615CC8"/>
    <w:multiLevelType w:val="multilevel"/>
    <w:tmpl w:val="32928DF6"/>
    <w:lvl w:ilvl="0">
      <w:start w:val="5"/>
      <w:numFmt w:val="decimal"/>
      <w:lvlText w:val="%1."/>
      <w:lvlJc w:val="left"/>
      <w:pPr>
        <w:ind w:left="360" w:hanging="360"/>
      </w:pPr>
      <w:rPr>
        <w:rFonts w:hint="default"/>
        <w:b/>
        <w:color w:val="365F91" w:themeColor="accent1" w:themeShade="B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7937A4C"/>
    <w:multiLevelType w:val="hybridMultilevel"/>
    <w:tmpl w:val="17627BDC"/>
    <w:lvl w:ilvl="0" w:tplc="21D2F48C">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347174"/>
    <w:multiLevelType w:val="hybridMultilevel"/>
    <w:tmpl w:val="D5001602"/>
    <w:lvl w:ilvl="0" w:tplc="A09E67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9400C"/>
    <w:multiLevelType w:val="hybridMultilevel"/>
    <w:tmpl w:val="A3103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E073D3"/>
    <w:multiLevelType w:val="multilevel"/>
    <w:tmpl w:val="7EC4B91E"/>
    <w:lvl w:ilvl="0">
      <w:start w:val="1"/>
      <w:numFmt w:val="decimal"/>
      <w:lvlText w:val="%1"/>
      <w:lvlJc w:val="left"/>
      <w:pPr>
        <w:ind w:left="360" w:hanging="360"/>
      </w:pPr>
      <w:rPr>
        <w:rFonts w:hint="default"/>
      </w:rPr>
    </w:lvl>
    <w:lvl w:ilvl="1">
      <w:start w:val="1"/>
      <w:numFmt w:val="decimal"/>
      <w:lvlText w:val="OS %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4680DDD"/>
    <w:multiLevelType w:val="hybridMultilevel"/>
    <w:tmpl w:val="47060C2E"/>
    <w:lvl w:ilvl="0" w:tplc="FB2419D4">
      <w:start w:val="1"/>
      <w:numFmt w:val="lowerRoman"/>
      <w:lvlText w:val="%1)"/>
      <w:lvlJc w:val="left"/>
      <w:pPr>
        <w:ind w:left="1012" w:hanging="720"/>
      </w:pPr>
      <w:rPr>
        <w:rFonts w:hint="default"/>
      </w:rPr>
    </w:lvl>
    <w:lvl w:ilvl="1" w:tplc="040C0019" w:tentative="1">
      <w:start w:val="1"/>
      <w:numFmt w:val="lowerLetter"/>
      <w:lvlText w:val="%2."/>
      <w:lvlJc w:val="left"/>
      <w:pPr>
        <w:ind w:left="1372" w:hanging="360"/>
      </w:pPr>
    </w:lvl>
    <w:lvl w:ilvl="2" w:tplc="040C001B" w:tentative="1">
      <w:start w:val="1"/>
      <w:numFmt w:val="lowerRoman"/>
      <w:lvlText w:val="%3."/>
      <w:lvlJc w:val="right"/>
      <w:pPr>
        <w:ind w:left="2092" w:hanging="180"/>
      </w:pPr>
    </w:lvl>
    <w:lvl w:ilvl="3" w:tplc="040C000F" w:tentative="1">
      <w:start w:val="1"/>
      <w:numFmt w:val="decimal"/>
      <w:lvlText w:val="%4."/>
      <w:lvlJc w:val="left"/>
      <w:pPr>
        <w:ind w:left="2812" w:hanging="360"/>
      </w:pPr>
    </w:lvl>
    <w:lvl w:ilvl="4" w:tplc="040C0019" w:tentative="1">
      <w:start w:val="1"/>
      <w:numFmt w:val="lowerLetter"/>
      <w:lvlText w:val="%5."/>
      <w:lvlJc w:val="left"/>
      <w:pPr>
        <w:ind w:left="3532" w:hanging="360"/>
      </w:pPr>
    </w:lvl>
    <w:lvl w:ilvl="5" w:tplc="040C001B" w:tentative="1">
      <w:start w:val="1"/>
      <w:numFmt w:val="lowerRoman"/>
      <w:lvlText w:val="%6."/>
      <w:lvlJc w:val="right"/>
      <w:pPr>
        <w:ind w:left="4252" w:hanging="180"/>
      </w:pPr>
    </w:lvl>
    <w:lvl w:ilvl="6" w:tplc="040C000F" w:tentative="1">
      <w:start w:val="1"/>
      <w:numFmt w:val="decimal"/>
      <w:lvlText w:val="%7."/>
      <w:lvlJc w:val="left"/>
      <w:pPr>
        <w:ind w:left="4972" w:hanging="360"/>
      </w:pPr>
    </w:lvl>
    <w:lvl w:ilvl="7" w:tplc="040C0019" w:tentative="1">
      <w:start w:val="1"/>
      <w:numFmt w:val="lowerLetter"/>
      <w:lvlText w:val="%8."/>
      <w:lvlJc w:val="left"/>
      <w:pPr>
        <w:ind w:left="5692" w:hanging="360"/>
      </w:pPr>
    </w:lvl>
    <w:lvl w:ilvl="8" w:tplc="040C001B" w:tentative="1">
      <w:start w:val="1"/>
      <w:numFmt w:val="lowerRoman"/>
      <w:lvlText w:val="%9."/>
      <w:lvlJc w:val="right"/>
      <w:pPr>
        <w:ind w:left="6412" w:hanging="180"/>
      </w:pPr>
    </w:lvl>
  </w:abstractNum>
  <w:abstractNum w:abstractNumId="18" w15:restartNumberingAfterBreak="0">
    <w:nsid w:val="4DA61783"/>
    <w:multiLevelType w:val="multilevel"/>
    <w:tmpl w:val="0F941970"/>
    <w:lvl w:ilvl="0">
      <w:start w:val="6"/>
      <w:numFmt w:val="decimal"/>
      <w:lvlText w:val="%1."/>
      <w:lvlJc w:val="left"/>
      <w:pPr>
        <w:ind w:left="360" w:hanging="360"/>
      </w:pPr>
      <w:rPr>
        <w:rFonts w:hint="default"/>
        <w:b/>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6D32289"/>
    <w:multiLevelType w:val="hybridMultilevel"/>
    <w:tmpl w:val="923C7198"/>
    <w:lvl w:ilvl="0" w:tplc="4EBE54BA">
      <w:start w:val="1"/>
      <w:numFmt w:val="decimal"/>
      <w:lvlText w:val="1.%1."/>
      <w:lvlJc w:val="left"/>
      <w:pPr>
        <w:ind w:left="4188" w:hanging="360"/>
      </w:pPr>
      <w:rPr>
        <w:rFonts w:hint="default"/>
        <w:b/>
        <w:color w:val="auto"/>
        <w:lang w:val="fr-BE"/>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0" w15:restartNumberingAfterBreak="0">
    <w:nsid w:val="5EA704B6"/>
    <w:multiLevelType w:val="hybridMultilevel"/>
    <w:tmpl w:val="B8E6D99A"/>
    <w:lvl w:ilvl="0" w:tplc="9956117A">
      <w:numFmt w:val="bullet"/>
      <w:lvlText w:val=""/>
      <w:lvlJc w:val="left"/>
      <w:pPr>
        <w:ind w:left="593" w:hanging="339"/>
      </w:pPr>
      <w:rPr>
        <w:rFonts w:ascii="Symbol" w:eastAsia="Symbol" w:hAnsi="Symbol" w:cs="Symbol" w:hint="default"/>
        <w:w w:val="103"/>
        <w:sz w:val="20"/>
        <w:szCs w:val="20"/>
        <w:lang w:val="fr-FR" w:eastAsia="en-US" w:bidi="ar-SA"/>
      </w:rPr>
    </w:lvl>
    <w:lvl w:ilvl="1" w:tplc="BED69C34">
      <w:numFmt w:val="bullet"/>
      <w:lvlText w:val="•"/>
      <w:lvlJc w:val="left"/>
      <w:pPr>
        <w:ind w:left="1434" w:hanging="339"/>
      </w:pPr>
      <w:rPr>
        <w:rFonts w:hint="default"/>
        <w:lang w:val="fr-FR" w:eastAsia="en-US" w:bidi="ar-SA"/>
      </w:rPr>
    </w:lvl>
    <w:lvl w:ilvl="2" w:tplc="169CA840">
      <w:numFmt w:val="bullet"/>
      <w:lvlText w:val="•"/>
      <w:lvlJc w:val="left"/>
      <w:pPr>
        <w:ind w:left="2268" w:hanging="339"/>
      </w:pPr>
      <w:rPr>
        <w:rFonts w:hint="default"/>
        <w:lang w:val="fr-FR" w:eastAsia="en-US" w:bidi="ar-SA"/>
      </w:rPr>
    </w:lvl>
    <w:lvl w:ilvl="3" w:tplc="142E9BA8">
      <w:numFmt w:val="bullet"/>
      <w:lvlText w:val="•"/>
      <w:lvlJc w:val="left"/>
      <w:pPr>
        <w:ind w:left="3102" w:hanging="339"/>
      </w:pPr>
      <w:rPr>
        <w:rFonts w:hint="default"/>
        <w:lang w:val="fr-FR" w:eastAsia="en-US" w:bidi="ar-SA"/>
      </w:rPr>
    </w:lvl>
    <w:lvl w:ilvl="4" w:tplc="F84E5D02">
      <w:numFmt w:val="bullet"/>
      <w:lvlText w:val="•"/>
      <w:lvlJc w:val="left"/>
      <w:pPr>
        <w:ind w:left="3936" w:hanging="339"/>
      </w:pPr>
      <w:rPr>
        <w:rFonts w:hint="default"/>
        <w:lang w:val="fr-FR" w:eastAsia="en-US" w:bidi="ar-SA"/>
      </w:rPr>
    </w:lvl>
    <w:lvl w:ilvl="5" w:tplc="6FEC1700">
      <w:numFmt w:val="bullet"/>
      <w:lvlText w:val="•"/>
      <w:lvlJc w:val="left"/>
      <w:pPr>
        <w:ind w:left="4770" w:hanging="339"/>
      </w:pPr>
      <w:rPr>
        <w:rFonts w:hint="default"/>
        <w:lang w:val="fr-FR" w:eastAsia="en-US" w:bidi="ar-SA"/>
      </w:rPr>
    </w:lvl>
    <w:lvl w:ilvl="6" w:tplc="D884DF2A">
      <w:numFmt w:val="bullet"/>
      <w:lvlText w:val="•"/>
      <w:lvlJc w:val="left"/>
      <w:pPr>
        <w:ind w:left="5604" w:hanging="339"/>
      </w:pPr>
      <w:rPr>
        <w:rFonts w:hint="default"/>
        <w:lang w:val="fr-FR" w:eastAsia="en-US" w:bidi="ar-SA"/>
      </w:rPr>
    </w:lvl>
    <w:lvl w:ilvl="7" w:tplc="DE829DD2">
      <w:numFmt w:val="bullet"/>
      <w:lvlText w:val="•"/>
      <w:lvlJc w:val="left"/>
      <w:pPr>
        <w:ind w:left="6438" w:hanging="339"/>
      </w:pPr>
      <w:rPr>
        <w:rFonts w:hint="default"/>
        <w:lang w:val="fr-FR" w:eastAsia="en-US" w:bidi="ar-SA"/>
      </w:rPr>
    </w:lvl>
    <w:lvl w:ilvl="8" w:tplc="F2425B00">
      <w:numFmt w:val="bullet"/>
      <w:lvlText w:val="•"/>
      <w:lvlJc w:val="left"/>
      <w:pPr>
        <w:ind w:left="7272" w:hanging="339"/>
      </w:pPr>
      <w:rPr>
        <w:rFonts w:hint="default"/>
        <w:lang w:val="fr-FR" w:eastAsia="en-US" w:bidi="ar-SA"/>
      </w:rPr>
    </w:lvl>
  </w:abstractNum>
  <w:abstractNum w:abstractNumId="21" w15:restartNumberingAfterBreak="0">
    <w:nsid w:val="62A93E57"/>
    <w:multiLevelType w:val="multilevel"/>
    <w:tmpl w:val="B26C5C92"/>
    <w:lvl w:ilvl="0">
      <w:start w:val="1"/>
      <w:numFmt w:val="decimal"/>
      <w:lvlText w:val="%1."/>
      <w:lvlJc w:val="left"/>
      <w:pPr>
        <w:ind w:left="1080" w:hanging="720"/>
      </w:pPr>
      <w:rPr>
        <w:rFonts w:hint="default"/>
        <w:b/>
      </w:rPr>
    </w:lvl>
    <w:lvl w:ilvl="1">
      <w:start w:val="1"/>
      <w:numFmt w:val="decimal"/>
      <w:isLgl/>
      <w:lvlText w:val="%1.%2"/>
      <w:lvlJc w:val="left"/>
      <w:pPr>
        <w:ind w:left="1080" w:hanging="360"/>
      </w:pPr>
      <w:rPr>
        <w:rFonts w:cs="Times New Roman" w:hint="default"/>
        <w:color w:val="0D0D0D" w:themeColor="text1" w:themeTint="F2"/>
        <w:lang w:val="fr-FR"/>
      </w:rPr>
    </w:lvl>
    <w:lvl w:ilvl="2">
      <w:start w:val="1"/>
      <w:numFmt w:val="decimal"/>
      <w:isLgl/>
      <w:lvlText w:val="%1.%2.%3"/>
      <w:lvlJc w:val="left"/>
      <w:pPr>
        <w:ind w:left="1800" w:hanging="720"/>
      </w:pPr>
      <w:rPr>
        <w:rFonts w:cs="Times New Roman" w:hint="default"/>
        <w:color w:val="0D0D0D" w:themeColor="text1" w:themeTint="F2"/>
      </w:rPr>
    </w:lvl>
    <w:lvl w:ilvl="3">
      <w:start w:val="1"/>
      <w:numFmt w:val="decimal"/>
      <w:isLgl/>
      <w:lvlText w:val="%1.%2.%3.%4"/>
      <w:lvlJc w:val="left"/>
      <w:pPr>
        <w:ind w:left="2160" w:hanging="720"/>
      </w:pPr>
      <w:rPr>
        <w:rFonts w:cs="Times New Roman" w:hint="default"/>
        <w:color w:val="0D0D0D" w:themeColor="text1" w:themeTint="F2"/>
      </w:rPr>
    </w:lvl>
    <w:lvl w:ilvl="4">
      <w:start w:val="1"/>
      <w:numFmt w:val="decimal"/>
      <w:isLgl/>
      <w:lvlText w:val="%1.%2.%3.%4.%5"/>
      <w:lvlJc w:val="left"/>
      <w:pPr>
        <w:ind w:left="2880" w:hanging="1080"/>
      </w:pPr>
      <w:rPr>
        <w:rFonts w:cs="Times New Roman" w:hint="default"/>
        <w:color w:val="0D0D0D" w:themeColor="text1" w:themeTint="F2"/>
      </w:rPr>
    </w:lvl>
    <w:lvl w:ilvl="5">
      <w:start w:val="1"/>
      <w:numFmt w:val="decimal"/>
      <w:isLgl/>
      <w:lvlText w:val="%1.%2.%3.%4.%5.%6"/>
      <w:lvlJc w:val="left"/>
      <w:pPr>
        <w:ind w:left="3240" w:hanging="1080"/>
      </w:pPr>
      <w:rPr>
        <w:rFonts w:cs="Times New Roman" w:hint="default"/>
        <w:color w:val="0D0D0D" w:themeColor="text1" w:themeTint="F2"/>
      </w:rPr>
    </w:lvl>
    <w:lvl w:ilvl="6">
      <w:start w:val="1"/>
      <w:numFmt w:val="decimal"/>
      <w:isLgl/>
      <w:lvlText w:val="%1.%2.%3.%4.%5.%6.%7"/>
      <w:lvlJc w:val="left"/>
      <w:pPr>
        <w:ind w:left="3960" w:hanging="1440"/>
      </w:pPr>
      <w:rPr>
        <w:rFonts w:cs="Times New Roman" w:hint="default"/>
        <w:color w:val="0D0D0D" w:themeColor="text1" w:themeTint="F2"/>
      </w:rPr>
    </w:lvl>
    <w:lvl w:ilvl="7">
      <w:start w:val="1"/>
      <w:numFmt w:val="decimal"/>
      <w:isLgl/>
      <w:lvlText w:val="%1.%2.%3.%4.%5.%6.%7.%8"/>
      <w:lvlJc w:val="left"/>
      <w:pPr>
        <w:ind w:left="4320" w:hanging="1440"/>
      </w:pPr>
      <w:rPr>
        <w:rFonts w:cs="Times New Roman" w:hint="default"/>
        <w:color w:val="0D0D0D" w:themeColor="text1" w:themeTint="F2"/>
      </w:rPr>
    </w:lvl>
    <w:lvl w:ilvl="8">
      <w:start w:val="1"/>
      <w:numFmt w:val="decimal"/>
      <w:isLgl/>
      <w:lvlText w:val="%1.%2.%3.%4.%5.%6.%7.%8.%9"/>
      <w:lvlJc w:val="left"/>
      <w:pPr>
        <w:ind w:left="4680" w:hanging="1440"/>
      </w:pPr>
      <w:rPr>
        <w:rFonts w:cs="Times New Roman" w:hint="default"/>
        <w:color w:val="0D0D0D" w:themeColor="text1" w:themeTint="F2"/>
      </w:rPr>
    </w:lvl>
  </w:abstractNum>
  <w:abstractNum w:abstractNumId="22" w15:restartNumberingAfterBreak="0">
    <w:nsid w:val="6C802BDE"/>
    <w:multiLevelType w:val="hybridMultilevel"/>
    <w:tmpl w:val="42F06B42"/>
    <w:lvl w:ilvl="0" w:tplc="45C274B4">
      <w:numFmt w:val="bullet"/>
      <w:lvlText w:val=""/>
      <w:lvlJc w:val="left"/>
      <w:pPr>
        <w:ind w:left="593" w:hanging="339"/>
      </w:pPr>
      <w:rPr>
        <w:rFonts w:ascii="Symbol" w:eastAsia="Symbol" w:hAnsi="Symbol" w:cs="Symbol" w:hint="default"/>
        <w:w w:val="103"/>
        <w:sz w:val="20"/>
        <w:szCs w:val="20"/>
        <w:lang w:val="fr-FR" w:eastAsia="en-US" w:bidi="ar-SA"/>
      </w:rPr>
    </w:lvl>
    <w:lvl w:ilvl="1" w:tplc="A8880C60">
      <w:numFmt w:val="bullet"/>
      <w:lvlText w:val="•"/>
      <w:lvlJc w:val="left"/>
      <w:pPr>
        <w:ind w:left="1434" w:hanging="339"/>
      </w:pPr>
      <w:rPr>
        <w:rFonts w:hint="default"/>
        <w:lang w:val="fr-FR" w:eastAsia="en-US" w:bidi="ar-SA"/>
      </w:rPr>
    </w:lvl>
    <w:lvl w:ilvl="2" w:tplc="04B03B1C">
      <w:numFmt w:val="bullet"/>
      <w:lvlText w:val="•"/>
      <w:lvlJc w:val="left"/>
      <w:pPr>
        <w:ind w:left="2268" w:hanging="339"/>
      </w:pPr>
      <w:rPr>
        <w:rFonts w:hint="default"/>
        <w:lang w:val="fr-FR" w:eastAsia="en-US" w:bidi="ar-SA"/>
      </w:rPr>
    </w:lvl>
    <w:lvl w:ilvl="3" w:tplc="134C8D10">
      <w:numFmt w:val="bullet"/>
      <w:lvlText w:val="•"/>
      <w:lvlJc w:val="left"/>
      <w:pPr>
        <w:ind w:left="3102" w:hanging="339"/>
      </w:pPr>
      <w:rPr>
        <w:rFonts w:hint="default"/>
        <w:lang w:val="fr-FR" w:eastAsia="en-US" w:bidi="ar-SA"/>
      </w:rPr>
    </w:lvl>
    <w:lvl w:ilvl="4" w:tplc="032A9A2E">
      <w:numFmt w:val="bullet"/>
      <w:lvlText w:val="•"/>
      <w:lvlJc w:val="left"/>
      <w:pPr>
        <w:ind w:left="3936" w:hanging="339"/>
      </w:pPr>
      <w:rPr>
        <w:rFonts w:hint="default"/>
        <w:lang w:val="fr-FR" w:eastAsia="en-US" w:bidi="ar-SA"/>
      </w:rPr>
    </w:lvl>
    <w:lvl w:ilvl="5" w:tplc="841217F4">
      <w:numFmt w:val="bullet"/>
      <w:lvlText w:val="•"/>
      <w:lvlJc w:val="left"/>
      <w:pPr>
        <w:ind w:left="4770" w:hanging="339"/>
      </w:pPr>
      <w:rPr>
        <w:rFonts w:hint="default"/>
        <w:lang w:val="fr-FR" w:eastAsia="en-US" w:bidi="ar-SA"/>
      </w:rPr>
    </w:lvl>
    <w:lvl w:ilvl="6" w:tplc="5210842A">
      <w:numFmt w:val="bullet"/>
      <w:lvlText w:val="•"/>
      <w:lvlJc w:val="left"/>
      <w:pPr>
        <w:ind w:left="5604" w:hanging="339"/>
      </w:pPr>
      <w:rPr>
        <w:rFonts w:hint="default"/>
        <w:lang w:val="fr-FR" w:eastAsia="en-US" w:bidi="ar-SA"/>
      </w:rPr>
    </w:lvl>
    <w:lvl w:ilvl="7" w:tplc="E0DAB594">
      <w:numFmt w:val="bullet"/>
      <w:lvlText w:val="•"/>
      <w:lvlJc w:val="left"/>
      <w:pPr>
        <w:ind w:left="6438" w:hanging="339"/>
      </w:pPr>
      <w:rPr>
        <w:rFonts w:hint="default"/>
        <w:lang w:val="fr-FR" w:eastAsia="en-US" w:bidi="ar-SA"/>
      </w:rPr>
    </w:lvl>
    <w:lvl w:ilvl="8" w:tplc="9A0A123C">
      <w:numFmt w:val="bullet"/>
      <w:lvlText w:val="•"/>
      <w:lvlJc w:val="left"/>
      <w:pPr>
        <w:ind w:left="7272" w:hanging="339"/>
      </w:pPr>
      <w:rPr>
        <w:rFonts w:hint="default"/>
        <w:lang w:val="fr-FR" w:eastAsia="en-US" w:bidi="ar-SA"/>
      </w:rPr>
    </w:lvl>
  </w:abstractNum>
  <w:abstractNum w:abstractNumId="23" w15:restartNumberingAfterBreak="0">
    <w:nsid w:val="72A5644C"/>
    <w:multiLevelType w:val="hybridMultilevel"/>
    <w:tmpl w:val="B61AAF9C"/>
    <w:lvl w:ilvl="0" w:tplc="51B4ED0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82873"/>
    <w:multiLevelType w:val="multilevel"/>
    <w:tmpl w:val="3940E034"/>
    <w:lvl w:ilvl="0">
      <w:start w:val="4"/>
      <w:numFmt w:val="decimal"/>
      <w:lvlText w:val="%1."/>
      <w:lvlJc w:val="left"/>
      <w:pPr>
        <w:ind w:left="360" w:hanging="360"/>
      </w:pPr>
      <w:rPr>
        <w:rFonts w:hint="default"/>
        <w:b/>
        <w:color w:val="365F91" w:themeColor="accent1" w:themeShade="B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2"/>
  </w:num>
  <w:num w:numId="3">
    <w:abstractNumId w:val="21"/>
  </w:num>
  <w:num w:numId="4">
    <w:abstractNumId w:val="16"/>
  </w:num>
  <w:num w:numId="5">
    <w:abstractNumId w:val="4"/>
  </w:num>
  <w:num w:numId="6">
    <w:abstractNumId w:val="6"/>
  </w:num>
  <w:num w:numId="7">
    <w:abstractNumId w:val="1"/>
  </w:num>
  <w:num w:numId="8">
    <w:abstractNumId w:val="17"/>
  </w:num>
  <w:num w:numId="9">
    <w:abstractNumId w:val="0"/>
  </w:num>
  <w:num w:numId="10">
    <w:abstractNumId w:val="7"/>
  </w:num>
  <w:num w:numId="11">
    <w:abstractNumId w:val="13"/>
  </w:num>
  <w:num w:numId="12">
    <w:abstractNumId w:val="9"/>
  </w:num>
  <w:num w:numId="13">
    <w:abstractNumId w:val="12"/>
  </w:num>
  <w:num w:numId="14">
    <w:abstractNumId w:val="19"/>
  </w:num>
  <w:num w:numId="15">
    <w:abstractNumId w:val="2"/>
  </w:num>
  <w:num w:numId="16">
    <w:abstractNumId w:val="24"/>
  </w:num>
  <w:num w:numId="17">
    <w:abstractNumId w:val="18"/>
  </w:num>
  <w:num w:numId="18">
    <w:abstractNumId w:val="15"/>
  </w:num>
  <w:num w:numId="19">
    <w:abstractNumId w:val="11"/>
  </w:num>
  <w:num w:numId="20">
    <w:abstractNumId w:val="8"/>
  </w:num>
  <w:num w:numId="21">
    <w:abstractNumId w:val="23"/>
  </w:num>
  <w:num w:numId="22">
    <w:abstractNumId w:val="10"/>
  </w:num>
  <w:num w:numId="23">
    <w:abstractNumId w:val="3"/>
  </w:num>
  <w:num w:numId="24">
    <w:abstractNumId w:val="14"/>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3B35"/>
    <w:rsid w:val="00004D52"/>
    <w:rsid w:val="00010E55"/>
    <w:rsid w:val="00016289"/>
    <w:rsid w:val="000239C8"/>
    <w:rsid w:val="000239F3"/>
    <w:rsid w:val="00025094"/>
    <w:rsid w:val="0003171F"/>
    <w:rsid w:val="00041CAD"/>
    <w:rsid w:val="0004281F"/>
    <w:rsid w:val="00044A69"/>
    <w:rsid w:val="000503DF"/>
    <w:rsid w:val="00054BDF"/>
    <w:rsid w:val="000576F1"/>
    <w:rsid w:val="00057B35"/>
    <w:rsid w:val="00057C3D"/>
    <w:rsid w:val="00061233"/>
    <w:rsid w:val="00061848"/>
    <w:rsid w:val="0007376A"/>
    <w:rsid w:val="000748E9"/>
    <w:rsid w:val="0008209E"/>
    <w:rsid w:val="00083103"/>
    <w:rsid w:val="00083B54"/>
    <w:rsid w:val="00083B68"/>
    <w:rsid w:val="00087A8D"/>
    <w:rsid w:val="00087EC1"/>
    <w:rsid w:val="00090A76"/>
    <w:rsid w:val="00093CA0"/>
    <w:rsid w:val="00097F41"/>
    <w:rsid w:val="000A202E"/>
    <w:rsid w:val="000A7E64"/>
    <w:rsid w:val="000B02D0"/>
    <w:rsid w:val="000B0FB5"/>
    <w:rsid w:val="000B205D"/>
    <w:rsid w:val="000B2933"/>
    <w:rsid w:val="000B4163"/>
    <w:rsid w:val="000B60C5"/>
    <w:rsid w:val="000B6ED3"/>
    <w:rsid w:val="000B7FB6"/>
    <w:rsid w:val="000C1682"/>
    <w:rsid w:val="000C412F"/>
    <w:rsid w:val="000D0D7C"/>
    <w:rsid w:val="000D126B"/>
    <w:rsid w:val="000D2A35"/>
    <w:rsid w:val="000D34CF"/>
    <w:rsid w:val="000D7422"/>
    <w:rsid w:val="000E28D8"/>
    <w:rsid w:val="000E6615"/>
    <w:rsid w:val="000E7053"/>
    <w:rsid w:val="000F26C2"/>
    <w:rsid w:val="000F28EE"/>
    <w:rsid w:val="000F36D9"/>
    <w:rsid w:val="000F3B01"/>
    <w:rsid w:val="000F3DF1"/>
    <w:rsid w:val="000F66F2"/>
    <w:rsid w:val="001031A3"/>
    <w:rsid w:val="001038CF"/>
    <w:rsid w:val="00103ABA"/>
    <w:rsid w:val="00111FC3"/>
    <w:rsid w:val="00113B6A"/>
    <w:rsid w:val="00114116"/>
    <w:rsid w:val="00114E7D"/>
    <w:rsid w:val="00120C22"/>
    <w:rsid w:val="00122DFA"/>
    <w:rsid w:val="00125FE4"/>
    <w:rsid w:val="00126B03"/>
    <w:rsid w:val="00132187"/>
    <w:rsid w:val="00134DDD"/>
    <w:rsid w:val="001403C4"/>
    <w:rsid w:val="001435E5"/>
    <w:rsid w:val="00144A1C"/>
    <w:rsid w:val="001471F5"/>
    <w:rsid w:val="00150ABE"/>
    <w:rsid w:val="00150D0B"/>
    <w:rsid w:val="00153628"/>
    <w:rsid w:val="00153F14"/>
    <w:rsid w:val="00154193"/>
    <w:rsid w:val="00154B7A"/>
    <w:rsid w:val="00155ABA"/>
    <w:rsid w:val="00156EEF"/>
    <w:rsid w:val="00157794"/>
    <w:rsid w:val="00157E52"/>
    <w:rsid w:val="0016019C"/>
    <w:rsid w:val="00162D98"/>
    <w:rsid w:val="001672AD"/>
    <w:rsid w:val="00172BAD"/>
    <w:rsid w:val="00176E55"/>
    <w:rsid w:val="001835A0"/>
    <w:rsid w:val="00183B9D"/>
    <w:rsid w:val="0018409A"/>
    <w:rsid w:val="00184C25"/>
    <w:rsid w:val="001874C1"/>
    <w:rsid w:val="0019051A"/>
    <w:rsid w:val="001A0E85"/>
    <w:rsid w:val="001A12A5"/>
    <w:rsid w:val="001A77A3"/>
    <w:rsid w:val="001B36E0"/>
    <w:rsid w:val="001B3777"/>
    <w:rsid w:val="001B6CF7"/>
    <w:rsid w:val="001C0646"/>
    <w:rsid w:val="001C1CC9"/>
    <w:rsid w:val="001C1FA5"/>
    <w:rsid w:val="001C2033"/>
    <w:rsid w:val="001C742F"/>
    <w:rsid w:val="001D134B"/>
    <w:rsid w:val="001E20D2"/>
    <w:rsid w:val="001E591B"/>
    <w:rsid w:val="002031B6"/>
    <w:rsid w:val="002105E7"/>
    <w:rsid w:val="00210681"/>
    <w:rsid w:val="00212205"/>
    <w:rsid w:val="00212B2E"/>
    <w:rsid w:val="0022497A"/>
    <w:rsid w:val="00224CF9"/>
    <w:rsid w:val="00230E75"/>
    <w:rsid w:val="002426FD"/>
    <w:rsid w:val="002437F9"/>
    <w:rsid w:val="002516AE"/>
    <w:rsid w:val="00252984"/>
    <w:rsid w:val="00253983"/>
    <w:rsid w:val="002544DB"/>
    <w:rsid w:val="00257FAA"/>
    <w:rsid w:val="00274F50"/>
    <w:rsid w:val="0028463F"/>
    <w:rsid w:val="002865FD"/>
    <w:rsid w:val="0029346B"/>
    <w:rsid w:val="002954D8"/>
    <w:rsid w:val="002957EF"/>
    <w:rsid w:val="00296D1F"/>
    <w:rsid w:val="002979D8"/>
    <w:rsid w:val="002A0DEA"/>
    <w:rsid w:val="002A37DE"/>
    <w:rsid w:val="002A4924"/>
    <w:rsid w:val="002A6F5E"/>
    <w:rsid w:val="002B4B53"/>
    <w:rsid w:val="002B57F1"/>
    <w:rsid w:val="002C1189"/>
    <w:rsid w:val="002C560D"/>
    <w:rsid w:val="002C7345"/>
    <w:rsid w:val="002D23C8"/>
    <w:rsid w:val="002E3B41"/>
    <w:rsid w:val="002E6411"/>
    <w:rsid w:val="002E7CE0"/>
    <w:rsid w:val="002F0385"/>
    <w:rsid w:val="002F1A68"/>
    <w:rsid w:val="002F2467"/>
    <w:rsid w:val="002F3908"/>
    <w:rsid w:val="002F76D7"/>
    <w:rsid w:val="0030116C"/>
    <w:rsid w:val="003028B2"/>
    <w:rsid w:val="00312F47"/>
    <w:rsid w:val="00313EC0"/>
    <w:rsid w:val="00315600"/>
    <w:rsid w:val="00316371"/>
    <w:rsid w:val="00322CE6"/>
    <w:rsid w:val="003249E6"/>
    <w:rsid w:val="00324EB5"/>
    <w:rsid w:val="00327888"/>
    <w:rsid w:val="00333C70"/>
    <w:rsid w:val="00337FA3"/>
    <w:rsid w:val="00341B39"/>
    <w:rsid w:val="003456B0"/>
    <w:rsid w:val="0035274C"/>
    <w:rsid w:val="003602BE"/>
    <w:rsid w:val="00362BB1"/>
    <w:rsid w:val="0036684A"/>
    <w:rsid w:val="00366CE5"/>
    <w:rsid w:val="00370253"/>
    <w:rsid w:val="00374FA7"/>
    <w:rsid w:val="00376562"/>
    <w:rsid w:val="003813A1"/>
    <w:rsid w:val="00382D2A"/>
    <w:rsid w:val="003849E3"/>
    <w:rsid w:val="00384A8E"/>
    <w:rsid w:val="00385066"/>
    <w:rsid w:val="00385540"/>
    <w:rsid w:val="003857D0"/>
    <w:rsid w:val="003A6677"/>
    <w:rsid w:val="003B0DD3"/>
    <w:rsid w:val="003B5A36"/>
    <w:rsid w:val="003B6762"/>
    <w:rsid w:val="003C365D"/>
    <w:rsid w:val="003C3B35"/>
    <w:rsid w:val="003C4085"/>
    <w:rsid w:val="003D1280"/>
    <w:rsid w:val="003D2ACB"/>
    <w:rsid w:val="003D45DB"/>
    <w:rsid w:val="003E1C14"/>
    <w:rsid w:val="003E3196"/>
    <w:rsid w:val="003E3D2E"/>
    <w:rsid w:val="003F26EB"/>
    <w:rsid w:val="003F7499"/>
    <w:rsid w:val="00401292"/>
    <w:rsid w:val="00404A0D"/>
    <w:rsid w:val="0041622A"/>
    <w:rsid w:val="0041648A"/>
    <w:rsid w:val="00417A3C"/>
    <w:rsid w:val="00422959"/>
    <w:rsid w:val="00427E5D"/>
    <w:rsid w:val="0043122C"/>
    <w:rsid w:val="00436B51"/>
    <w:rsid w:val="0044023B"/>
    <w:rsid w:val="00440C58"/>
    <w:rsid w:val="00441340"/>
    <w:rsid w:val="004440FF"/>
    <w:rsid w:val="004455FC"/>
    <w:rsid w:val="004465CF"/>
    <w:rsid w:val="00454CBB"/>
    <w:rsid w:val="00460AD0"/>
    <w:rsid w:val="00466B67"/>
    <w:rsid w:val="004715FB"/>
    <w:rsid w:val="00472361"/>
    <w:rsid w:val="004763FB"/>
    <w:rsid w:val="00481906"/>
    <w:rsid w:val="004839CC"/>
    <w:rsid w:val="004852DA"/>
    <w:rsid w:val="0049336A"/>
    <w:rsid w:val="00495969"/>
    <w:rsid w:val="00495F2B"/>
    <w:rsid w:val="004A0088"/>
    <w:rsid w:val="004A220C"/>
    <w:rsid w:val="004A3FBB"/>
    <w:rsid w:val="004A4572"/>
    <w:rsid w:val="004A5480"/>
    <w:rsid w:val="004B10C7"/>
    <w:rsid w:val="004B149F"/>
    <w:rsid w:val="004B3C7E"/>
    <w:rsid w:val="004B615F"/>
    <w:rsid w:val="004C499F"/>
    <w:rsid w:val="004C4C14"/>
    <w:rsid w:val="004C6224"/>
    <w:rsid w:val="004D3C78"/>
    <w:rsid w:val="004D64A4"/>
    <w:rsid w:val="004E0958"/>
    <w:rsid w:val="004E6DCF"/>
    <w:rsid w:val="004E7A65"/>
    <w:rsid w:val="004F2E83"/>
    <w:rsid w:val="004F37AD"/>
    <w:rsid w:val="004F391C"/>
    <w:rsid w:val="004F4B7C"/>
    <w:rsid w:val="004F584B"/>
    <w:rsid w:val="004F750A"/>
    <w:rsid w:val="00504F70"/>
    <w:rsid w:val="00505435"/>
    <w:rsid w:val="00507ED8"/>
    <w:rsid w:val="005107C3"/>
    <w:rsid w:val="00516696"/>
    <w:rsid w:val="00516815"/>
    <w:rsid w:val="00516F2E"/>
    <w:rsid w:val="005170BB"/>
    <w:rsid w:val="005232CD"/>
    <w:rsid w:val="005239DB"/>
    <w:rsid w:val="0053018D"/>
    <w:rsid w:val="005324B4"/>
    <w:rsid w:val="0053287D"/>
    <w:rsid w:val="00533F2D"/>
    <w:rsid w:val="00534378"/>
    <w:rsid w:val="005424E8"/>
    <w:rsid w:val="005462E1"/>
    <w:rsid w:val="0055164E"/>
    <w:rsid w:val="00552CFB"/>
    <w:rsid w:val="005576AA"/>
    <w:rsid w:val="00561FBB"/>
    <w:rsid w:val="005647DF"/>
    <w:rsid w:val="00566709"/>
    <w:rsid w:val="005723D8"/>
    <w:rsid w:val="00575698"/>
    <w:rsid w:val="00575F78"/>
    <w:rsid w:val="0057691D"/>
    <w:rsid w:val="005769C7"/>
    <w:rsid w:val="00580E6A"/>
    <w:rsid w:val="00583B21"/>
    <w:rsid w:val="00584841"/>
    <w:rsid w:val="005854AF"/>
    <w:rsid w:val="00586DBB"/>
    <w:rsid w:val="00593AC6"/>
    <w:rsid w:val="00595790"/>
    <w:rsid w:val="00596626"/>
    <w:rsid w:val="00597093"/>
    <w:rsid w:val="005A156C"/>
    <w:rsid w:val="005A1678"/>
    <w:rsid w:val="005A3A34"/>
    <w:rsid w:val="005B1644"/>
    <w:rsid w:val="005B22BD"/>
    <w:rsid w:val="005B3FD9"/>
    <w:rsid w:val="005B56B1"/>
    <w:rsid w:val="005C1697"/>
    <w:rsid w:val="005C46DB"/>
    <w:rsid w:val="005D15C9"/>
    <w:rsid w:val="005D58EE"/>
    <w:rsid w:val="005D5AA1"/>
    <w:rsid w:val="005D6114"/>
    <w:rsid w:val="005D6B86"/>
    <w:rsid w:val="005D6D02"/>
    <w:rsid w:val="005D7A10"/>
    <w:rsid w:val="005E0B44"/>
    <w:rsid w:val="005E354D"/>
    <w:rsid w:val="005E40B7"/>
    <w:rsid w:val="005E4671"/>
    <w:rsid w:val="005E7B27"/>
    <w:rsid w:val="005F06A1"/>
    <w:rsid w:val="005F2CE5"/>
    <w:rsid w:val="005F37F6"/>
    <w:rsid w:val="005F4A84"/>
    <w:rsid w:val="005F6317"/>
    <w:rsid w:val="00603643"/>
    <w:rsid w:val="00605B6F"/>
    <w:rsid w:val="00605CD7"/>
    <w:rsid w:val="006065B4"/>
    <w:rsid w:val="00610EA6"/>
    <w:rsid w:val="0061150E"/>
    <w:rsid w:val="006132D0"/>
    <w:rsid w:val="00614340"/>
    <w:rsid w:val="00614B36"/>
    <w:rsid w:val="00617C33"/>
    <w:rsid w:val="00624368"/>
    <w:rsid w:val="00632C41"/>
    <w:rsid w:val="00632FD4"/>
    <w:rsid w:val="006347C4"/>
    <w:rsid w:val="00641003"/>
    <w:rsid w:val="00644A09"/>
    <w:rsid w:val="00645A40"/>
    <w:rsid w:val="006461EE"/>
    <w:rsid w:val="0064678D"/>
    <w:rsid w:val="0065060A"/>
    <w:rsid w:val="00653706"/>
    <w:rsid w:val="006550C8"/>
    <w:rsid w:val="00655C09"/>
    <w:rsid w:val="00657C18"/>
    <w:rsid w:val="00665C64"/>
    <w:rsid w:val="006678F7"/>
    <w:rsid w:val="00670533"/>
    <w:rsid w:val="00673C7D"/>
    <w:rsid w:val="00676EB9"/>
    <w:rsid w:val="00677806"/>
    <w:rsid w:val="006811C5"/>
    <w:rsid w:val="00681BB3"/>
    <w:rsid w:val="006825BF"/>
    <w:rsid w:val="00684032"/>
    <w:rsid w:val="00685803"/>
    <w:rsid w:val="006867D4"/>
    <w:rsid w:val="00687521"/>
    <w:rsid w:val="00687F3D"/>
    <w:rsid w:val="00693459"/>
    <w:rsid w:val="00694DC5"/>
    <w:rsid w:val="00695E16"/>
    <w:rsid w:val="00696121"/>
    <w:rsid w:val="006A12C9"/>
    <w:rsid w:val="006A193C"/>
    <w:rsid w:val="006A1992"/>
    <w:rsid w:val="006A1F85"/>
    <w:rsid w:val="006A46CD"/>
    <w:rsid w:val="006B5844"/>
    <w:rsid w:val="006B6D43"/>
    <w:rsid w:val="006C00D9"/>
    <w:rsid w:val="006C4744"/>
    <w:rsid w:val="006C48F6"/>
    <w:rsid w:val="006C49D4"/>
    <w:rsid w:val="006C4A8F"/>
    <w:rsid w:val="006D068D"/>
    <w:rsid w:val="006D07DA"/>
    <w:rsid w:val="006D12B0"/>
    <w:rsid w:val="006D1A1C"/>
    <w:rsid w:val="006D1AD7"/>
    <w:rsid w:val="006D217C"/>
    <w:rsid w:val="006D267D"/>
    <w:rsid w:val="006D7DF6"/>
    <w:rsid w:val="006E2868"/>
    <w:rsid w:val="006F05C8"/>
    <w:rsid w:val="006F27A6"/>
    <w:rsid w:val="006F466A"/>
    <w:rsid w:val="006F4C27"/>
    <w:rsid w:val="006F5584"/>
    <w:rsid w:val="006F6923"/>
    <w:rsid w:val="007001CA"/>
    <w:rsid w:val="00703567"/>
    <w:rsid w:val="007042CA"/>
    <w:rsid w:val="0071084A"/>
    <w:rsid w:val="00711AFA"/>
    <w:rsid w:val="0071498C"/>
    <w:rsid w:val="00716569"/>
    <w:rsid w:val="00724E78"/>
    <w:rsid w:val="00725C9A"/>
    <w:rsid w:val="00725D0F"/>
    <w:rsid w:val="007270E8"/>
    <w:rsid w:val="00731731"/>
    <w:rsid w:val="0073300C"/>
    <w:rsid w:val="007360B7"/>
    <w:rsid w:val="00737EBA"/>
    <w:rsid w:val="007402AB"/>
    <w:rsid w:val="00742966"/>
    <w:rsid w:val="00742D63"/>
    <w:rsid w:val="00743C95"/>
    <w:rsid w:val="007447F4"/>
    <w:rsid w:val="00745C48"/>
    <w:rsid w:val="0075154C"/>
    <w:rsid w:val="00752DE1"/>
    <w:rsid w:val="00752DF8"/>
    <w:rsid w:val="00756F76"/>
    <w:rsid w:val="007578CB"/>
    <w:rsid w:val="00763FEF"/>
    <w:rsid w:val="00766646"/>
    <w:rsid w:val="00766CCB"/>
    <w:rsid w:val="007708E7"/>
    <w:rsid w:val="00770AD3"/>
    <w:rsid w:val="0077115D"/>
    <w:rsid w:val="00771DBA"/>
    <w:rsid w:val="00775AE5"/>
    <w:rsid w:val="007804B5"/>
    <w:rsid w:val="00781927"/>
    <w:rsid w:val="00782705"/>
    <w:rsid w:val="00786A4E"/>
    <w:rsid w:val="00791682"/>
    <w:rsid w:val="0079176E"/>
    <w:rsid w:val="00791A3C"/>
    <w:rsid w:val="007942C4"/>
    <w:rsid w:val="00797586"/>
    <w:rsid w:val="007A67C6"/>
    <w:rsid w:val="007A7790"/>
    <w:rsid w:val="007B3A69"/>
    <w:rsid w:val="007B3C89"/>
    <w:rsid w:val="007B6541"/>
    <w:rsid w:val="007B7C5E"/>
    <w:rsid w:val="007C34AF"/>
    <w:rsid w:val="007C4530"/>
    <w:rsid w:val="007D10D2"/>
    <w:rsid w:val="007D3B92"/>
    <w:rsid w:val="007E1F5D"/>
    <w:rsid w:val="007E3C6E"/>
    <w:rsid w:val="007E3CD1"/>
    <w:rsid w:val="007E7F8F"/>
    <w:rsid w:val="007F117A"/>
    <w:rsid w:val="00802190"/>
    <w:rsid w:val="0080341E"/>
    <w:rsid w:val="00804300"/>
    <w:rsid w:val="00805C70"/>
    <w:rsid w:val="00806EE3"/>
    <w:rsid w:val="0081340C"/>
    <w:rsid w:val="00813B34"/>
    <w:rsid w:val="00813E4E"/>
    <w:rsid w:val="00814AEE"/>
    <w:rsid w:val="00821434"/>
    <w:rsid w:val="00821A14"/>
    <w:rsid w:val="008259EF"/>
    <w:rsid w:val="00830A4A"/>
    <w:rsid w:val="0083332E"/>
    <w:rsid w:val="00843037"/>
    <w:rsid w:val="00850291"/>
    <w:rsid w:val="00854D85"/>
    <w:rsid w:val="00860AE8"/>
    <w:rsid w:val="0086448A"/>
    <w:rsid w:val="0086798A"/>
    <w:rsid w:val="00871915"/>
    <w:rsid w:val="00872512"/>
    <w:rsid w:val="00876C78"/>
    <w:rsid w:val="00883F66"/>
    <w:rsid w:val="008870EF"/>
    <w:rsid w:val="008953E4"/>
    <w:rsid w:val="008A0470"/>
    <w:rsid w:val="008A078F"/>
    <w:rsid w:val="008A3CC1"/>
    <w:rsid w:val="008A62D3"/>
    <w:rsid w:val="008A7BDF"/>
    <w:rsid w:val="008B1377"/>
    <w:rsid w:val="008B30F1"/>
    <w:rsid w:val="008B7A7A"/>
    <w:rsid w:val="008C3030"/>
    <w:rsid w:val="008C6EC1"/>
    <w:rsid w:val="008D12A2"/>
    <w:rsid w:val="008D2C8A"/>
    <w:rsid w:val="008D3170"/>
    <w:rsid w:val="008E45C5"/>
    <w:rsid w:val="008E608A"/>
    <w:rsid w:val="008E60DD"/>
    <w:rsid w:val="008F2C80"/>
    <w:rsid w:val="008F313B"/>
    <w:rsid w:val="008F3F37"/>
    <w:rsid w:val="008F458D"/>
    <w:rsid w:val="008F4FD4"/>
    <w:rsid w:val="009039B5"/>
    <w:rsid w:val="00904C2A"/>
    <w:rsid w:val="00904D78"/>
    <w:rsid w:val="009054DD"/>
    <w:rsid w:val="0091009B"/>
    <w:rsid w:val="009163E8"/>
    <w:rsid w:val="009173F9"/>
    <w:rsid w:val="00917C1F"/>
    <w:rsid w:val="009269E7"/>
    <w:rsid w:val="00926F4E"/>
    <w:rsid w:val="009310BD"/>
    <w:rsid w:val="0093186A"/>
    <w:rsid w:val="0093204F"/>
    <w:rsid w:val="00934BBE"/>
    <w:rsid w:val="00936755"/>
    <w:rsid w:val="0093778B"/>
    <w:rsid w:val="009447FD"/>
    <w:rsid w:val="00945C9A"/>
    <w:rsid w:val="00946065"/>
    <w:rsid w:val="00950DCB"/>
    <w:rsid w:val="0095249F"/>
    <w:rsid w:val="00956153"/>
    <w:rsid w:val="0095799D"/>
    <w:rsid w:val="00957A07"/>
    <w:rsid w:val="0096429D"/>
    <w:rsid w:val="00967F38"/>
    <w:rsid w:val="00972C5D"/>
    <w:rsid w:val="00983F15"/>
    <w:rsid w:val="009900EB"/>
    <w:rsid w:val="00993AFB"/>
    <w:rsid w:val="009A018E"/>
    <w:rsid w:val="009A2EC4"/>
    <w:rsid w:val="009A3131"/>
    <w:rsid w:val="009B1130"/>
    <w:rsid w:val="009B5976"/>
    <w:rsid w:val="009C1096"/>
    <w:rsid w:val="009C2B30"/>
    <w:rsid w:val="009C4AEE"/>
    <w:rsid w:val="009D1EFA"/>
    <w:rsid w:val="009E202B"/>
    <w:rsid w:val="009E4728"/>
    <w:rsid w:val="009F0AD7"/>
    <w:rsid w:val="009F5362"/>
    <w:rsid w:val="00A01BD3"/>
    <w:rsid w:val="00A04338"/>
    <w:rsid w:val="00A05A26"/>
    <w:rsid w:val="00A0780B"/>
    <w:rsid w:val="00A2614B"/>
    <w:rsid w:val="00A261A7"/>
    <w:rsid w:val="00A33511"/>
    <w:rsid w:val="00A4180E"/>
    <w:rsid w:val="00A44FD3"/>
    <w:rsid w:val="00A5079C"/>
    <w:rsid w:val="00A50E79"/>
    <w:rsid w:val="00A53E9B"/>
    <w:rsid w:val="00A53F16"/>
    <w:rsid w:val="00A54EFA"/>
    <w:rsid w:val="00A60233"/>
    <w:rsid w:val="00A6058E"/>
    <w:rsid w:val="00A607C0"/>
    <w:rsid w:val="00A704AB"/>
    <w:rsid w:val="00A7197F"/>
    <w:rsid w:val="00A71AD3"/>
    <w:rsid w:val="00A73259"/>
    <w:rsid w:val="00A75EBF"/>
    <w:rsid w:val="00A7760B"/>
    <w:rsid w:val="00A8113F"/>
    <w:rsid w:val="00A81626"/>
    <w:rsid w:val="00A84C7A"/>
    <w:rsid w:val="00A85DF4"/>
    <w:rsid w:val="00A9308C"/>
    <w:rsid w:val="00A9491D"/>
    <w:rsid w:val="00A964C6"/>
    <w:rsid w:val="00AA3560"/>
    <w:rsid w:val="00AA4619"/>
    <w:rsid w:val="00AA47D5"/>
    <w:rsid w:val="00AA5BE3"/>
    <w:rsid w:val="00AB1A08"/>
    <w:rsid w:val="00AB2B27"/>
    <w:rsid w:val="00AB714C"/>
    <w:rsid w:val="00AC1A8C"/>
    <w:rsid w:val="00AC29BC"/>
    <w:rsid w:val="00AC3603"/>
    <w:rsid w:val="00AC7C53"/>
    <w:rsid w:val="00AC7CB6"/>
    <w:rsid w:val="00AD09CB"/>
    <w:rsid w:val="00AD0FC6"/>
    <w:rsid w:val="00AD53A3"/>
    <w:rsid w:val="00AD5EC8"/>
    <w:rsid w:val="00AD7EE9"/>
    <w:rsid w:val="00AE1125"/>
    <w:rsid w:val="00AE58B2"/>
    <w:rsid w:val="00AE5F2D"/>
    <w:rsid w:val="00AF24DF"/>
    <w:rsid w:val="00AF3B5F"/>
    <w:rsid w:val="00AF3D9C"/>
    <w:rsid w:val="00B01297"/>
    <w:rsid w:val="00B04621"/>
    <w:rsid w:val="00B04FC9"/>
    <w:rsid w:val="00B06B44"/>
    <w:rsid w:val="00B10568"/>
    <w:rsid w:val="00B108A2"/>
    <w:rsid w:val="00B16FDF"/>
    <w:rsid w:val="00B2105E"/>
    <w:rsid w:val="00B218D5"/>
    <w:rsid w:val="00B21B57"/>
    <w:rsid w:val="00B25072"/>
    <w:rsid w:val="00B257C0"/>
    <w:rsid w:val="00B27640"/>
    <w:rsid w:val="00B27B43"/>
    <w:rsid w:val="00B3184A"/>
    <w:rsid w:val="00B34BC5"/>
    <w:rsid w:val="00B4196E"/>
    <w:rsid w:val="00B42CB5"/>
    <w:rsid w:val="00B44DBB"/>
    <w:rsid w:val="00B46F6F"/>
    <w:rsid w:val="00B545ED"/>
    <w:rsid w:val="00B57DD6"/>
    <w:rsid w:val="00B6424B"/>
    <w:rsid w:val="00B66C83"/>
    <w:rsid w:val="00B67469"/>
    <w:rsid w:val="00B67776"/>
    <w:rsid w:val="00B71727"/>
    <w:rsid w:val="00B8035D"/>
    <w:rsid w:val="00B811DC"/>
    <w:rsid w:val="00B81572"/>
    <w:rsid w:val="00B82BCE"/>
    <w:rsid w:val="00B82FB2"/>
    <w:rsid w:val="00B905FF"/>
    <w:rsid w:val="00B94B14"/>
    <w:rsid w:val="00BA372C"/>
    <w:rsid w:val="00BA4584"/>
    <w:rsid w:val="00BA6260"/>
    <w:rsid w:val="00BB036F"/>
    <w:rsid w:val="00BB1D06"/>
    <w:rsid w:val="00BB69F4"/>
    <w:rsid w:val="00BC14A1"/>
    <w:rsid w:val="00BC4E37"/>
    <w:rsid w:val="00BC546B"/>
    <w:rsid w:val="00BD0A22"/>
    <w:rsid w:val="00BD23B2"/>
    <w:rsid w:val="00BE3155"/>
    <w:rsid w:val="00BE32CE"/>
    <w:rsid w:val="00BE3DA5"/>
    <w:rsid w:val="00BF2A8E"/>
    <w:rsid w:val="00BF4ED7"/>
    <w:rsid w:val="00BF57D0"/>
    <w:rsid w:val="00C0104F"/>
    <w:rsid w:val="00C054F5"/>
    <w:rsid w:val="00C12A35"/>
    <w:rsid w:val="00C15E9C"/>
    <w:rsid w:val="00C20F4C"/>
    <w:rsid w:val="00C23509"/>
    <w:rsid w:val="00C26BE7"/>
    <w:rsid w:val="00C26D8E"/>
    <w:rsid w:val="00C30E41"/>
    <w:rsid w:val="00C33035"/>
    <w:rsid w:val="00C34813"/>
    <w:rsid w:val="00C36453"/>
    <w:rsid w:val="00C37B40"/>
    <w:rsid w:val="00C423FC"/>
    <w:rsid w:val="00C43A90"/>
    <w:rsid w:val="00C45E52"/>
    <w:rsid w:val="00C4711F"/>
    <w:rsid w:val="00C5082F"/>
    <w:rsid w:val="00C5240B"/>
    <w:rsid w:val="00C6336E"/>
    <w:rsid w:val="00C64404"/>
    <w:rsid w:val="00C64555"/>
    <w:rsid w:val="00C67892"/>
    <w:rsid w:val="00C70F16"/>
    <w:rsid w:val="00C7219B"/>
    <w:rsid w:val="00C72555"/>
    <w:rsid w:val="00C74463"/>
    <w:rsid w:val="00C75EB6"/>
    <w:rsid w:val="00C769A1"/>
    <w:rsid w:val="00C870E0"/>
    <w:rsid w:val="00C903AF"/>
    <w:rsid w:val="00C93C5E"/>
    <w:rsid w:val="00C94B6F"/>
    <w:rsid w:val="00CA3053"/>
    <w:rsid w:val="00CB1037"/>
    <w:rsid w:val="00CB1C23"/>
    <w:rsid w:val="00CB322B"/>
    <w:rsid w:val="00CC042F"/>
    <w:rsid w:val="00CC69BF"/>
    <w:rsid w:val="00CD291D"/>
    <w:rsid w:val="00CD3490"/>
    <w:rsid w:val="00CD7C13"/>
    <w:rsid w:val="00CE2340"/>
    <w:rsid w:val="00CE70CC"/>
    <w:rsid w:val="00CF1528"/>
    <w:rsid w:val="00CF7105"/>
    <w:rsid w:val="00CF78B1"/>
    <w:rsid w:val="00D02002"/>
    <w:rsid w:val="00D03B36"/>
    <w:rsid w:val="00D06D88"/>
    <w:rsid w:val="00D14616"/>
    <w:rsid w:val="00D21B59"/>
    <w:rsid w:val="00D242D1"/>
    <w:rsid w:val="00D26804"/>
    <w:rsid w:val="00D26C03"/>
    <w:rsid w:val="00D27819"/>
    <w:rsid w:val="00D30DB1"/>
    <w:rsid w:val="00D32D3E"/>
    <w:rsid w:val="00D36DB1"/>
    <w:rsid w:val="00D41646"/>
    <w:rsid w:val="00D43854"/>
    <w:rsid w:val="00D441BC"/>
    <w:rsid w:val="00D5020B"/>
    <w:rsid w:val="00D64EBB"/>
    <w:rsid w:val="00D65219"/>
    <w:rsid w:val="00D67133"/>
    <w:rsid w:val="00D71DDD"/>
    <w:rsid w:val="00D73807"/>
    <w:rsid w:val="00D73E7D"/>
    <w:rsid w:val="00D82D86"/>
    <w:rsid w:val="00D86333"/>
    <w:rsid w:val="00D87233"/>
    <w:rsid w:val="00D91C67"/>
    <w:rsid w:val="00D937FC"/>
    <w:rsid w:val="00D93886"/>
    <w:rsid w:val="00D94910"/>
    <w:rsid w:val="00D97FBC"/>
    <w:rsid w:val="00DA4EB1"/>
    <w:rsid w:val="00DA742A"/>
    <w:rsid w:val="00DB090A"/>
    <w:rsid w:val="00DB37FE"/>
    <w:rsid w:val="00DB6CC7"/>
    <w:rsid w:val="00DB7677"/>
    <w:rsid w:val="00DB7E04"/>
    <w:rsid w:val="00DC3174"/>
    <w:rsid w:val="00DC3767"/>
    <w:rsid w:val="00DE1649"/>
    <w:rsid w:val="00DE2D9E"/>
    <w:rsid w:val="00DE49E0"/>
    <w:rsid w:val="00DE4E3C"/>
    <w:rsid w:val="00DE53A2"/>
    <w:rsid w:val="00DE5D3E"/>
    <w:rsid w:val="00DE6151"/>
    <w:rsid w:val="00DE644B"/>
    <w:rsid w:val="00DE667E"/>
    <w:rsid w:val="00DE7EBE"/>
    <w:rsid w:val="00DF23D6"/>
    <w:rsid w:val="00DF52E9"/>
    <w:rsid w:val="00DF65EB"/>
    <w:rsid w:val="00DF7232"/>
    <w:rsid w:val="00DF7291"/>
    <w:rsid w:val="00E0143A"/>
    <w:rsid w:val="00E14CD9"/>
    <w:rsid w:val="00E1765B"/>
    <w:rsid w:val="00E32148"/>
    <w:rsid w:val="00E32210"/>
    <w:rsid w:val="00E3565D"/>
    <w:rsid w:val="00E37ABE"/>
    <w:rsid w:val="00E45DE4"/>
    <w:rsid w:val="00E47C6A"/>
    <w:rsid w:val="00E47F7E"/>
    <w:rsid w:val="00E61DBE"/>
    <w:rsid w:val="00E636B4"/>
    <w:rsid w:val="00E63F28"/>
    <w:rsid w:val="00E70606"/>
    <w:rsid w:val="00E768AF"/>
    <w:rsid w:val="00E808E3"/>
    <w:rsid w:val="00E8257A"/>
    <w:rsid w:val="00E83F36"/>
    <w:rsid w:val="00E87810"/>
    <w:rsid w:val="00E90601"/>
    <w:rsid w:val="00E91221"/>
    <w:rsid w:val="00E91E09"/>
    <w:rsid w:val="00E9611E"/>
    <w:rsid w:val="00E97A0C"/>
    <w:rsid w:val="00E97FE2"/>
    <w:rsid w:val="00EA2C5F"/>
    <w:rsid w:val="00EA321C"/>
    <w:rsid w:val="00EA3444"/>
    <w:rsid w:val="00EA5111"/>
    <w:rsid w:val="00EA5A58"/>
    <w:rsid w:val="00EA7F58"/>
    <w:rsid w:val="00EB3D5F"/>
    <w:rsid w:val="00EB4BF0"/>
    <w:rsid w:val="00EB7D52"/>
    <w:rsid w:val="00EC1B25"/>
    <w:rsid w:val="00ED5F7B"/>
    <w:rsid w:val="00ED6305"/>
    <w:rsid w:val="00EE23E9"/>
    <w:rsid w:val="00EE3AD4"/>
    <w:rsid w:val="00EE534C"/>
    <w:rsid w:val="00EE5863"/>
    <w:rsid w:val="00EE7701"/>
    <w:rsid w:val="00EF40B3"/>
    <w:rsid w:val="00EF655A"/>
    <w:rsid w:val="00EF710F"/>
    <w:rsid w:val="00F009F6"/>
    <w:rsid w:val="00F01C96"/>
    <w:rsid w:val="00F06966"/>
    <w:rsid w:val="00F1119D"/>
    <w:rsid w:val="00F13A8B"/>
    <w:rsid w:val="00F16031"/>
    <w:rsid w:val="00F1688F"/>
    <w:rsid w:val="00F16F07"/>
    <w:rsid w:val="00F177D6"/>
    <w:rsid w:val="00F234B5"/>
    <w:rsid w:val="00F24A55"/>
    <w:rsid w:val="00F267C5"/>
    <w:rsid w:val="00F27C13"/>
    <w:rsid w:val="00F31846"/>
    <w:rsid w:val="00F32FD6"/>
    <w:rsid w:val="00F34D49"/>
    <w:rsid w:val="00F35B53"/>
    <w:rsid w:val="00F40260"/>
    <w:rsid w:val="00F44FC0"/>
    <w:rsid w:val="00F5163D"/>
    <w:rsid w:val="00F52EB2"/>
    <w:rsid w:val="00F53134"/>
    <w:rsid w:val="00F5548B"/>
    <w:rsid w:val="00F6149A"/>
    <w:rsid w:val="00F623FE"/>
    <w:rsid w:val="00F66F8C"/>
    <w:rsid w:val="00F67957"/>
    <w:rsid w:val="00F7112D"/>
    <w:rsid w:val="00F818F3"/>
    <w:rsid w:val="00F84719"/>
    <w:rsid w:val="00F85997"/>
    <w:rsid w:val="00F85AFB"/>
    <w:rsid w:val="00F9267B"/>
    <w:rsid w:val="00F92B13"/>
    <w:rsid w:val="00FA0006"/>
    <w:rsid w:val="00FA1DE5"/>
    <w:rsid w:val="00FA2AF7"/>
    <w:rsid w:val="00FA2C8A"/>
    <w:rsid w:val="00FB0623"/>
    <w:rsid w:val="00FB3B5C"/>
    <w:rsid w:val="00FB4289"/>
    <w:rsid w:val="00FC017C"/>
    <w:rsid w:val="00FC2DD1"/>
    <w:rsid w:val="00FC6F27"/>
    <w:rsid w:val="00FD615C"/>
    <w:rsid w:val="00FE3A59"/>
    <w:rsid w:val="00FF2245"/>
    <w:rsid w:val="00FF231D"/>
    <w:rsid w:val="00FF54E6"/>
    <w:rsid w:val="00FF63C3"/>
    <w:rsid w:val="00FF7044"/>
    <w:rsid w:val="00FF7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F3F22"/>
  <w15:docId w15:val="{138B0CB0-CBCB-4B76-A8C5-D5F4947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3B35"/>
    <w:rPr>
      <w:rFonts w:ascii="Times New Roman" w:eastAsia="Times New Roman" w:hAnsi="Times New Roman" w:cs="Times New Roman"/>
      <w:lang w:val="fr-FR"/>
    </w:rPr>
  </w:style>
  <w:style w:type="paragraph" w:styleId="Heading1">
    <w:name w:val="heading 1"/>
    <w:basedOn w:val="Normal"/>
    <w:next w:val="Normal"/>
    <w:link w:val="Heading1Char"/>
    <w:uiPriority w:val="9"/>
    <w:qFormat/>
    <w:rsid w:val="00143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3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15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644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C3B35"/>
    <w:tblPr>
      <w:tblInd w:w="0" w:type="dxa"/>
      <w:tblCellMar>
        <w:top w:w="0" w:type="dxa"/>
        <w:left w:w="0" w:type="dxa"/>
        <w:bottom w:w="0" w:type="dxa"/>
        <w:right w:w="0" w:type="dxa"/>
      </w:tblCellMar>
    </w:tblPr>
  </w:style>
  <w:style w:type="paragraph" w:customStyle="1" w:styleId="TOC11">
    <w:name w:val="TOC 11"/>
    <w:basedOn w:val="Normal"/>
    <w:uiPriority w:val="1"/>
    <w:qFormat/>
    <w:rsid w:val="003C3B35"/>
    <w:pPr>
      <w:spacing w:before="140"/>
      <w:ind w:left="723" w:hanging="532"/>
    </w:pPr>
    <w:rPr>
      <w:sz w:val="20"/>
      <w:szCs w:val="20"/>
    </w:rPr>
  </w:style>
  <w:style w:type="paragraph" w:styleId="BodyText">
    <w:name w:val="Body Text"/>
    <w:basedOn w:val="Normal"/>
    <w:uiPriority w:val="1"/>
    <w:qFormat/>
    <w:rsid w:val="003C3B35"/>
    <w:rPr>
      <w:sz w:val="20"/>
      <w:szCs w:val="20"/>
    </w:rPr>
  </w:style>
  <w:style w:type="paragraph" w:customStyle="1" w:styleId="Heading11">
    <w:name w:val="Heading 11"/>
    <w:basedOn w:val="Normal"/>
    <w:uiPriority w:val="1"/>
    <w:qFormat/>
    <w:rsid w:val="003C3B35"/>
    <w:pPr>
      <w:spacing w:before="93"/>
      <w:ind w:left="456" w:hanging="339"/>
      <w:outlineLvl w:val="1"/>
    </w:pPr>
    <w:rPr>
      <w:b/>
      <w:bCs/>
      <w:sz w:val="26"/>
      <w:szCs w:val="26"/>
    </w:rPr>
  </w:style>
  <w:style w:type="paragraph" w:customStyle="1" w:styleId="Heading21">
    <w:name w:val="Heading 21"/>
    <w:basedOn w:val="Normal"/>
    <w:uiPriority w:val="1"/>
    <w:qFormat/>
    <w:rsid w:val="003C3B35"/>
    <w:pPr>
      <w:ind w:left="192"/>
      <w:outlineLvl w:val="2"/>
    </w:pPr>
    <w:rPr>
      <w:b/>
      <w:bCs/>
      <w:sz w:val="20"/>
      <w:szCs w:val="20"/>
      <w:u w:val="single" w:color="000000"/>
    </w:rPr>
  </w:style>
  <w:style w:type="paragraph" w:customStyle="1" w:styleId="Heading31">
    <w:name w:val="Heading 31"/>
    <w:basedOn w:val="Normal"/>
    <w:uiPriority w:val="1"/>
    <w:qFormat/>
    <w:rsid w:val="003C3B35"/>
    <w:pPr>
      <w:spacing w:before="1"/>
      <w:ind w:left="132"/>
      <w:outlineLvl w:val="3"/>
    </w:pPr>
    <w:rPr>
      <w:b/>
      <w:bCs/>
      <w:i/>
      <w:iCs/>
      <w:sz w:val="20"/>
      <w:szCs w:val="20"/>
    </w:rPr>
  </w:style>
  <w:style w:type="paragraph" w:styleId="Title">
    <w:name w:val="Title"/>
    <w:basedOn w:val="Normal"/>
    <w:uiPriority w:val="1"/>
    <w:qFormat/>
    <w:rsid w:val="003C3B35"/>
    <w:pPr>
      <w:spacing w:line="344" w:lineRule="exact"/>
      <w:ind w:left="818" w:right="744"/>
      <w:jc w:val="center"/>
    </w:pPr>
    <w:rPr>
      <w:b/>
      <w:bCs/>
      <w:sz w:val="30"/>
      <w:szCs w:val="30"/>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Llista Nivell1,En tête 1"/>
    <w:basedOn w:val="Normal"/>
    <w:link w:val="ListParagraphChar"/>
    <w:uiPriority w:val="34"/>
    <w:qFormat/>
    <w:rsid w:val="003C3B35"/>
    <w:pPr>
      <w:spacing w:before="1"/>
      <w:ind w:left="593" w:hanging="339"/>
      <w:jc w:val="both"/>
    </w:pPr>
  </w:style>
  <w:style w:type="paragraph" w:customStyle="1" w:styleId="TableParagraph">
    <w:name w:val="Table Paragraph"/>
    <w:basedOn w:val="Normal"/>
    <w:uiPriority w:val="1"/>
    <w:qFormat/>
    <w:rsid w:val="003C3B35"/>
  </w:style>
  <w:style w:type="paragraph" w:styleId="BalloonText">
    <w:name w:val="Balloon Text"/>
    <w:basedOn w:val="Normal"/>
    <w:link w:val="BalloonTextChar"/>
    <w:uiPriority w:val="99"/>
    <w:semiHidden/>
    <w:unhideWhenUsed/>
    <w:rsid w:val="00FA0006"/>
    <w:rPr>
      <w:rFonts w:ascii="Tahoma" w:hAnsi="Tahoma" w:cs="Tahoma"/>
      <w:sz w:val="16"/>
      <w:szCs w:val="16"/>
    </w:rPr>
  </w:style>
  <w:style w:type="character" w:customStyle="1" w:styleId="BalloonTextChar">
    <w:name w:val="Balloon Text Char"/>
    <w:basedOn w:val="DefaultParagraphFont"/>
    <w:link w:val="BalloonText"/>
    <w:uiPriority w:val="99"/>
    <w:semiHidden/>
    <w:rsid w:val="00FA0006"/>
    <w:rPr>
      <w:rFonts w:ascii="Tahoma" w:eastAsia="Times New Roman" w:hAnsi="Tahoma" w:cs="Tahoma"/>
      <w:sz w:val="16"/>
      <w:szCs w:val="16"/>
      <w:lang w:val="fr-FR"/>
    </w:rPr>
  </w:style>
  <w:style w:type="paragraph" w:styleId="Header">
    <w:name w:val="header"/>
    <w:basedOn w:val="Normal"/>
    <w:link w:val="HeaderChar"/>
    <w:uiPriority w:val="99"/>
    <w:unhideWhenUsed/>
    <w:rsid w:val="00F5548B"/>
    <w:pPr>
      <w:tabs>
        <w:tab w:val="center" w:pos="4536"/>
        <w:tab w:val="right" w:pos="9072"/>
      </w:tabs>
    </w:pPr>
  </w:style>
  <w:style w:type="character" w:customStyle="1" w:styleId="HeaderChar">
    <w:name w:val="Header Char"/>
    <w:basedOn w:val="DefaultParagraphFont"/>
    <w:link w:val="Header"/>
    <w:uiPriority w:val="99"/>
    <w:rsid w:val="00F5548B"/>
    <w:rPr>
      <w:rFonts w:ascii="Times New Roman" w:eastAsia="Times New Roman" w:hAnsi="Times New Roman" w:cs="Times New Roman"/>
      <w:lang w:val="fr-FR"/>
    </w:rPr>
  </w:style>
  <w:style w:type="paragraph" w:styleId="Footer">
    <w:name w:val="footer"/>
    <w:basedOn w:val="Normal"/>
    <w:link w:val="FooterChar"/>
    <w:uiPriority w:val="99"/>
    <w:unhideWhenUsed/>
    <w:rsid w:val="00F5548B"/>
    <w:pPr>
      <w:tabs>
        <w:tab w:val="center" w:pos="4536"/>
        <w:tab w:val="right" w:pos="9072"/>
      </w:tabs>
    </w:pPr>
  </w:style>
  <w:style w:type="character" w:customStyle="1" w:styleId="FooterChar">
    <w:name w:val="Footer Char"/>
    <w:basedOn w:val="DefaultParagraphFont"/>
    <w:link w:val="Footer"/>
    <w:uiPriority w:val="99"/>
    <w:rsid w:val="00F5548B"/>
    <w:rPr>
      <w:rFonts w:ascii="Times New Roman" w:eastAsia="Times New Roman" w:hAnsi="Times New Roman" w:cs="Times New Roman"/>
      <w:lang w:val="fr-FR"/>
    </w:rPr>
  </w:style>
  <w:style w:type="paragraph" w:styleId="DocumentMap">
    <w:name w:val="Document Map"/>
    <w:basedOn w:val="Normal"/>
    <w:link w:val="DocumentMapChar"/>
    <w:uiPriority w:val="99"/>
    <w:semiHidden/>
    <w:unhideWhenUsed/>
    <w:rsid w:val="000F28EE"/>
    <w:rPr>
      <w:rFonts w:ascii="Tahoma" w:hAnsi="Tahoma" w:cs="Tahoma"/>
      <w:sz w:val="16"/>
      <w:szCs w:val="16"/>
    </w:rPr>
  </w:style>
  <w:style w:type="character" w:customStyle="1" w:styleId="DocumentMapChar">
    <w:name w:val="Document Map Char"/>
    <w:basedOn w:val="DefaultParagraphFont"/>
    <w:link w:val="DocumentMap"/>
    <w:uiPriority w:val="99"/>
    <w:semiHidden/>
    <w:rsid w:val="000F28EE"/>
    <w:rPr>
      <w:rFonts w:ascii="Tahoma" w:eastAsia="Times New Roman" w:hAnsi="Tahoma" w:cs="Tahoma"/>
      <w:sz w:val="16"/>
      <w:szCs w:val="16"/>
      <w:lang w:val="fr-FR"/>
    </w:rPr>
  </w:style>
  <w:style w:type="character" w:styleId="Hyperlink">
    <w:name w:val="Hyperlink"/>
    <w:basedOn w:val="DefaultParagraphFont"/>
    <w:uiPriority w:val="99"/>
    <w:unhideWhenUsed/>
    <w:rsid w:val="0018409A"/>
    <w:rPr>
      <w:color w:val="0000FF" w:themeColor="hyperlink"/>
      <w:u w:val="single"/>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o"/>
    <w:basedOn w:val="Normal"/>
    <w:link w:val="FootnoteTextChar"/>
    <w:uiPriority w:val="99"/>
    <w:qFormat/>
    <w:rsid w:val="0018409A"/>
    <w:pPr>
      <w:widowControl/>
      <w:autoSpaceDE/>
      <w:autoSpaceDN/>
      <w:jc w:val="both"/>
    </w:pPr>
    <w:rPr>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18409A"/>
    <w:rPr>
      <w:rFonts w:ascii="Times New Roman" w:eastAsia="Times New Roman" w:hAnsi="Times New Roman" w:cs="Times New Roman"/>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Expos"/>
    <w:link w:val="BVIfnrChar1"/>
    <w:uiPriority w:val="99"/>
    <w:qFormat/>
    <w:rsid w:val="0018409A"/>
    <w:rPr>
      <w:vertAlign w:val="superscript"/>
    </w:rPr>
  </w:style>
  <w:style w:type="paragraph" w:customStyle="1" w:styleId="BVIfnrChar1">
    <w:name w:val="BVI fnr Char1"/>
    <w:aliases w:val="footnote reference,Appel note de bas de p..BVI fnr Car Car Car Car, BVI fnr Car Car,BVI fnr Car, BVI fnr Car Car Car Car, BVI fnr Car Car Car Car Char,Appel note de bas de p..BVI fnr Car Car Car Car1, BVI fnr, BVI fnr Char,Footnote s,R"/>
    <w:basedOn w:val="Normal"/>
    <w:link w:val="FootnoteReference"/>
    <w:uiPriority w:val="99"/>
    <w:qFormat/>
    <w:rsid w:val="0018409A"/>
    <w:pPr>
      <w:widowControl/>
      <w:autoSpaceDE/>
      <w:autoSpaceDN/>
      <w:spacing w:line="240" w:lineRule="exact"/>
      <w:jc w:val="both"/>
    </w:pPr>
    <w:rPr>
      <w:rFonts w:asciiTheme="minorHAnsi" w:eastAsiaTheme="minorHAnsi" w:hAnsiTheme="minorHAnsi" w:cstheme="minorBidi"/>
      <w:vertAlign w:val="superscript"/>
      <w:lang w:val="en-US"/>
    </w:rPr>
  </w:style>
  <w:style w:type="paragraph" w:customStyle="1" w:styleId="Default">
    <w:name w:val="Default"/>
    <w:link w:val="DefaultChar"/>
    <w:rsid w:val="0018409A"/>
    <w:pPr>
      <w:widowControl/>
      <w:adjustRightInd w:val="0"/>
    </w:pPr>
    <w:rPr>
      <w:rFonts w:ascii="Calibri" w:eastAsia="Times New Roman" w:hAnsi="Calibri" w:cs="Calibri"/>
      <w:color w:val="000000"/>
      <w:sz w:val="24"/>
      <w:szCs w:val="24"/>
      <w:lang w:val="en-GB"/>
    </w:rPr>
  </w:style>
  <w:style w:type="character" w:customStyle="1" w:styleId="DefaultChar">
    <w:name w:val="Default Char"/>
    <w:link w:val="Default"/>
    <w:locked/>
    <w:rsid w:val="0018409A"/>
    <w:rPr>
      <w:rFonts w:ascii="Calibri" w:eastAsia="Times New Roman" w:hAnsi="Calibri" w:cs="Calibri"/>
      <w:color w:val="000000"/>
      <w:sz w:val="24"/>
      <w:szCs w:val="24"/>
      <w:lang w:val="en-GB"/>
    </w:rPr>
  </w:style>
  <w:style w:type="paragraph" w:styleId="NoSpacing">
    <w:name w:val="No Spacing"/>
    <w:uiPriority w:val="1"/>
    <w:qFormat/>
    <w:rsid w:val="00BE32CE"/>
    <w:pPr>
      <w:widowControl/>
      <w:autoSpaceDE/>
      <w:autoSpaceDN/>
    </w:pPr>
  </w:style>
  <w:style w:type="character" w:customStyle="1" w:styleId="markedcontent">
    <w:name w:val="markedcontent"/>
    <w:basedOn w:val="DefaultParagraphFont"/>
    <w:rsid w:val="00BE32CE"/>
  </w:style>
  <w:style w:type="character" w:customStyle="1" w:styleId="Heading1Char">
    <w:name w:val="Heading 1 Char"/>
    <w:basedOn w:val="DefaultParagraphFont"/>
    <w:link w:val="Heading1"/>
    <w:uiPriority w:val="9"/>
    <w:rsid w:val="001435E5"/>
    <w:rPr>
      <w:rFonts w:asciiTheme="majorHAnsi" w:eastAsiaTheme="majorEastAsia" w:hAnsiTheme="majorHAnsi" w:cstheme="majorBidi"/>
      <w:b/>
      <w:bCs/>
      <w:color w:val="365F91" w:themeColor="accent1" w:themeShade="BF"/>
      <w:sz w:val="28"/>
      <w:szCs w:val="28"/>
      <w:lang w:val="fr-FR"/>
    </w:rPr>
  </w:style>
  <w:style w:type="paragraph" w:styleId="TOCHeading">
    <w:name w:val="TOC Heading"/>
    <w:basedOn w:val="Heading1"/>
    <w:next w:val="Normal"/>
    <w:uiPriority w:val="39"/>
    <w:semiHidden/>
    <w:unhideWhenUsed/>
    <w:qFormat/>
    <w:rsid w:val="001435E5"/>
    <w:pPr>
      <w:widowControl/>
      <w:autoSpaceDE/>
      <w:autoSpaceDN/>
      <w:spacing w:line="276" w:lineRule="auto"/>
      <w:outlineLvl w:val="9"/>
    </w:pPr>
  </w:style>
  <w:style w:type="paragraph" w:styleId="TOC2">
    <w:name w:val="toc 2"/>
    <w:basedOn w:val="Normal"/>
    <w:next w:val="Normal"/>
    <w:autoRedefine/>
    <w:uiPriority w:val="39"/>
    <w:unhideWhenUsed/>
    <w:rsid w:val="00481906"/>
    <w:pPr>
      <w:tabs>
        <w:tab w:val="left" w:pos="426"/>
        <w:tab w:val="right" w:leader="dot" w:pos="9394"/>
      </w:tabs>
      <w:spacing w:after="100"/>
    </w:pPr>
  </w:style>
  <w:style w:type="paragraph" w:styleId="TOC3">
    <w:name w:val="toc 3"/>
    <w:basedOn w:val="Normal"/>
    <w:next w:val="Normal"/>
    <w:autoRedefine/>
    <w:uiPriority w:val="39"/>
    <w:unhideWhenUsed/>
    <w:rsid w:val="001435E5"/>
    <w:pPr>
      <w:spacing w:after="100"/>
      <w:ind w:left="440"/>
    </w:pPr>
  </w:style>
  <w:style w:type="character" w:styleId="CommentReference">
    <w:name w:val="annotation reference"/>
    <w:basedOn w:val="DefaultParagraphFont"/>
    <w:uiPriority w:val="99"/>
    <w:unhideWhenUsed/>
    <w:rsid w:val="00103ABA"/>
    <w:rPr>
      <w:sz w:val="16"/>
      <w:szCs w:val="16"/>
    </w:rPr>
  </w:style>
  <w:style w:type="paragraph" w:styleId="CommentText">
    <w:name w:val="annotation text"/>
    <w:basedOn w:val="Normal"/>
    <w:link w:val="CommentTextChar"/>
    <w:uiPriority w:val="99"/>
    <w:semiHidden/>
    <w:unhideWhenUsed/>
    <w:rsid w:val="00103ABA"/>
    <w:rPr>
      <w:sz w:val="20"/>
      <w:szCs w:val="20"/>
    </w:rPr>
  </w:style>
  <w:style w:type="character" w:customStyle="1" w:styleId="CommentTextChar">
    <w:name w:val="Comment Text Char"/>
    <w:basedOn w:val="DefaultParagraphFont"/>
    <w:link w:val="CommentText"/>
    <w:uiPriority w:val="99"/>
    <w:semiHidden/>
    <w:rsid w:val="00103AB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103ABA"/>
    <w:rPr>
      <w:b/>
      <w:bCs/>
    </w:rPr>
  </w:style>
  <w:style w:type="character" w:customStyle="1" w:styleId="CommentSubjectChar">
    <w:name w:val="Comment Subject Char"/>
    <w:basedOn w:val="CommentTextChar"/>
    <w:link w:val="CommentSubject"/>
    <w:uiPriority w:val="99"/>
    <w:semiHidden/>
    <w:rsid w:val="00103ABA"/>
    <w:rPr>
      <w:rFonts w:ascii="Times New Roman" w:eastAsia="Times New Roman" w:hAnsi="Times New Roman" w:cs="Times New Roman"/>
      <w:b/>
      <w:bCs/>
      <w:sz w:val="20"/>
      <w:szCs w:val="20"/>
      <w:lang w:val="fr-FR"/>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
    <w:link w:val="ListParagraph"/>
    <w:uiPriority w:val="34"/>
    <w:qFormat/>
    <w:rsid w:val="00427E5D"/>
    <w:rPr>
      <w:rFonts w:ascii="Times New Roman" w:eastAsia="Times New Roman" w:hAnsi="Times New Roman" w:cs="Times New Roman"/>
      <w:lang w:val="fr-FR"/>
    </w:rPr>
  </w:style>
  <w:style w:type="character" w:customStyle="1" w:styleId="Heading3Char">
    <w:name w:val="Heading 3 Char"/>
    <w:basedOn w:val="DefaultParagraphFont"/>
    <w:link w:val="Heading3"/>
    <w:uiPriority w:val="9"/>
    <w:rsid w:val="0077115D"/>
    <w:rPr>
      <w:rFonts w:asciiTheme="majorHAnsi" w:eastAsiaTheme="majorEastAsia" w:hAnsiTheme="majorHAnsi" w:cstheme="majorBidi"/>
      <w:b/>
      <w:bCs/>
      <w:color w:val="4F81BD" w:themeColor="accent1"/>
      <w:lang w:val="fr-FR"/>
    </w:rPr>
  </w:style>
  <w:style w:type="character" w:customStyle="1" w:styleId="Heading5Char">
    <w:name w:val="Heading 5 Char"/>
    <w:basedOn w:val="DefaultParagraphFont"/>
    <w:link w:val="Heading5"/>
    <w:uiPriority w:val="9"/>
    <w:semiHidden/>
    <w:rsid w:val="0086448A"/>
    <w:rPr>
      <w:rFonts w:asciiTheme="majorHAnsi" w:eastAsiaTheme="majorEastAsia" w:hAnsiTheme="majorHAnsi" w:cstheme="majorBidi"/>
      <w:color w:val="243F60" w:themeColor="accent1" w:themeShade="7F"/>
      <w:lang w:val="fr-FR"/>
    </w:rPr>
  </w:style>
  <w:style w:type="character" w:customStyle="1" w:styleId="Heading2Char">
    <w:name w:val="Heading 2 Char"/>
    <w:basedOn w:val="DefaultParagraphFont"/>
    <w:link w:val="Heading2"/>
    <w:uiPriority w:val="9"/>
    <w:rsid w:val="00FF63C3"/>
    <w:rPr>
      <w:rFonts w:asciiTheme="majorHAnsi" w:eastAsiaTheme="majorEastAsia" w:hAnsiTheme="majorHAnsi" w:cstheme="majorBidi"/>
      <w:b/>
      <w:bCs/>
      <w:color w:val="4F81BD" w:themeColor="accent1"/>
      <w:sz w:val="26"/>
      <w:szCs w:val="26"/>
      <w:lang w:val="fr-FR"/>
    </w:rPr>
  </w:style>
  <w:style w:type="paragraph" w:styleId="TOC1">
    <w:name w:val="toc 1"/>
    <w:basedOn w:val="Normal"/>
    <w:next w:val="Normal"/>
    <w:autoRedefine/>
    <w:uiPriority w:val="39"/>
    <w:unhideWhenUsed/>
    <w:rsid w:val="00BF2A8E"/>
    <w:pPr>
      <w:spacing w:after="100"/>
    </w:pPr>
  </w:style>
  <w:style w:type="character" w:styleId="FollowedHyperlink">
    <w:name w:val="FollowedHyperlink"/>
    <w:basedOn w:val="DefaultParagraphFont"/>
    <w:uiPriority w:val="99"/>
    <w:semiHidden/>
    <w:unhideWhenUsed/>
    <w:rsid w:val="00821434"/>
    <w:rPr>
      <w:color w:val="800080" w:themeColor="followedHyperlink"/>
      <w:u w:val="single"/>
    </w:rPr>
  </w:style>
  <w:style w:type="paragraph" w:customStyle="1" w:styleId="Char2">
    <w:name w:val="Char2"/>
    <w:basedOn w:val="Normal"/>
    <w:uiPriority w:val="99"/>
    <w:rsid w:val="00AA47D5"/>
    <w:pPr>
      <w:widowControl/>
      <w:autoSpaceDE/>
      <w:autoSpaceDN/>
      <w:spacing w:before="120" w:after="160" w:line="240" w:lineRule="exact"/>
    </w:pPr>
    <w:rPr>
      <w:sz w:val="24"/>
      <w:szCs w:val="20"/>
      <w:vertAlign w:val="superscript"/>
      <w:lang w:eastAsia="fr-FR" w:bidi="fr-FR"/>
    </w:rPr>
  </w:style>
  <w:style w:type="paragraph" w:styleId="NormalWeb">
    <w:name w:val="Normal (Web)"/>
    <w:basedOn w:val="Normal"/>
    <w:uiPriority w:val="99"/>
    <w:unhideWhenUsed/>
    <w:rsid w:val="007360B7"/>
    <w:pPr>
      <w:widowControl/>
      <w:autoSpaceDE/>
      <w:autoSpaceDN/>
      <w:spacing w:before="100" w:beforeAutospacing="1" w:after="100" w:afterAutospacing="1"/>
      <w:jc w:val="both"/>
    </w:pPr>
    <w:rPr>
      <w:sz w:val="24"/>
      <w:szCs w:val="24"/>
      <w:lang w:val="en-GB" w:eastAsia="en-GB"/>
    </w:rPr>
  </w:style>
  <w:style w:type="paragraph" w:styleId="Revision">
    <w:name w:val="Revision"/>
    <w:hidden/>
    <w:uiPriority w:val="99"/>
    <w:semiHidden/>
    <w:rsid w:val="006D1AD7"/>
    <w:pPr>
      <w:widowControl/>
      <w:autoSpaceDE/>
      <w:autoSpaceDN/>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5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ropa.eu/capacity4dev/results-and-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capacity4dev/results-and-indic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burundi/media/1161/file/Burundi:%20rapport%20sur%20la%20pauvret%C3%A9%20des%20enfants.pdf" TargetMode="External"/><Relationship Id="rId1" Type="http://schemas.openxmlformats.org/officeDocument/2006/relationships/hyperlink" Target="https://donnees.banquemondiale.org/indicateur/SI.POV.DDAY?locations=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or xmlns="4da462fd-eb0f-4971-bbf8-8950d08a8357" xsi:nil="true"/>
    <lcf76f155ced4ddcb4097134ff3c332f xmlns="4da462fd-eb0f-4971-bbf8-8950d08a8357">
      <Terms xmlns="http://schemas.microsoft.com/office/infopath/2007/PartnerControls"/>
    </lcf76f155ced4ddcb4097134ff3c332f>
    <Stage xmlns="4da462fd-eb0f-4971-bbf8-8950d08a8357" xsi:nil="true"/>
    <Live_x002f_Closed xmlns="4da462fd-eb0f-4971-bbf8-8950d08a8357">Live</Live_x002f_Closed>
    <Service_x0020_Area xmlns="4da462fd-eb0f-4971-bbf8-8950d08a8357" xsi:nil="true"/>
    <Company xmlns="4da462fd-eb0f-4971-bbf8-8950d08a8357" xsi:nil="true"/>
    <Division xmlns="4da462fd-eb0f-4971-bbf8-8950d08a8357" xsi:nil="true"/>
    <TaxCatchAll xmlns="ea46cada-5297-45cd-b734-0621e8d20f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A48A8556EBA4197F2B6D15EFCA202" ma:contentTypeVersion="22" ma:contentTypeDescription="Create a new document." ma:contentTypeScope="" ma:versionID="ceca43faec9efef977f87ef624fc7ea8">
  <xsd:schema xmlns:xsd="http://www.w3.org/2001/XMLSchema" xmlns:xs="http://www.w3.org/2001/XMLSchema" xmlns:p="http://schemas.microsoft.com/office/2006/metadata/properties" xmlns:ns2="ea46cada-5297-45cd-b734-0621e8d20f91" xmlns:ns3="4da462fd-eb0f-4971-bbf8-8950d08a8357" targetNamespace="http://schemas.microsoft.com/office/2006/metadata/properties" ma:root="true" ma:fieldsID="78816f50a53eb6a181302505f7a9b7ff" ns2:_="" ns3:_="">
    <xsd:import namespace="ea46cada-5297-45cd-b734-0621e8d20f91"/>
    <xsd:import namespace="4da462fd-eb0f-4971-bbf8-8950d08a83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Company" minOccurs="0"/>
                <xsd:element ref="ns3:Donor" minOccurs="0"/>
                <xsd:element ref="ns3:Division" minOccurs="0"/>
                <xsd:element ref="ns3:Stage" minOccurs="0"/>
                <xsd:element ref="ns3:Service_x0020_Area" minOccurs="0"/>
                <xsd:element ref="ns3:Live_x002f_Clos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cada-5297-45cd-b734-0621e8d20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c1120a-711d-40cd-adb3-4c39642dbcf0}" ma:internalName="TaxCatchAll" ma:showField="CatchAllData" ma:web="ea46cada-5297-45cd-b734-0621e8d20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a462fd-eb0f-4971-bbf8-8950d08a83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ca6d51-c096-4061-9084-e896c51eaf91" ma:termSetId="09814cd3-568e-fe90-9814-8d621ff8fb84" ma:anchorId="fba54fb3-c3e1-fe81-a776-ca4b69148c4d" ma:open="true" ma:isKeyword="false">
      <xsd:complexType>
        <xsd:sequence>
          <xsd:element ref="pc:Terms" minOccurs="0" maxOccurs="1"/>
        </xsd:sequence>
      </xsd:complexType>
    </xsd:element>
    <xsd:element name="Company" ma:index="23" nillable="true" ma:displayName="Company" ma:format="Dropdown" ma:internalName="Company">
      <xsd:simpleType>
        <xsd:restriction base="dms:Choice">
          <xsd:enumeration value="IE"/>
          <xsd:enumeration value="UK"/>
          <xsd:enumeration value="AF"/>
          <xsd:enumeration value="SD"/>
        </xsd:restriction>
      </xsd:simpleType>
    </xsd:element>
    <xsd:element name="Donor" ma:index="24" nillable="true" ma:displayName="Donor" ma:format="Dropdown" ma:internalName="Donor">
      <xsd:simpleType>
        <xsd:restriction base="dms:Choice">
          <xsd:enumeration value="ADB"/>
          <xsd:enumeration value="AFD"/>
          <xsd:enumeration value="Danida"/>
          <xsd:enumeration value="AfDB"/>
          <xsd:enumeration value="EIB"/>
          <xsd:enumeration value="EU"/>
          <xsd:enumeration value="FAO"/>
          <xsd:enumeration value="GiZ"/>
          <xsd:enumeration value="IFAD"/>
          <xsd:enumeration value="Irish Aid"/>
          <xsd:enumeration value="KFW"/>
          <xsd:enumeration value="SIDA"/>
          <xsd:enumeration value="SDC"/>
          <xsd:enumeration value="UK GOV"/>
          <xsd:enumeration value="UNICEF"/>
          <xsd:enumeration value="WB"/>
          <xsd:enumeration value="WFP"/>
          <xsd:enumeration value="UNDP"/>
        </xsd:restriction>
      </xsd:simpleType>
    </xsd:element>
    <xsd:element name="Division" ma:index="25" nillable="true" ma:displayName="Division" ma:format="Dropdown" ma:internalName="Division">
      <xsd:simpleType>
        <xsd:restriction base="dms:Choice">
          <xsd:enumeration value="AFN"/>
          <xsd:enumeration value="FWC"/>
          <xsd:enumeration value="EWD"/>
          <xsd:enumeration value="GOV"/>
          <xsd:enumeration value="MEL"/>
          <xsd:enumeration value="MET"/>
          <xsd:enumeration value="MKT"/>
        </xsd:restriction>
      </xsd:simpleType>
    </xsd:element>
    <xsd:element name="Stage" ma:index="26" nillable="true" ma:displayName="Stage" ma:format="Dropdown" ma:internalName="Stage">
      <xsd:complexType>
        <xsd:complexContent>
          <xsd:extension base="dms:MultiChoice">
            <xsd:sequence>
              <xsd:element name="Value" maxOccurs="unbounded" minOccurs="0" nillable="true">
                <xsd:simpleType>
                  <xsd:restriction base="dms:Choice">
                    <xsd:enumeration value="EOI"/>
                    <xsd:enumeration value="BID"/>
                    <xsd:enumeration value="PROJECT"/>
                    <xsd:enumeration value="FWC REQ"/>
                    <xsd:enumeration value="Forecast"/>
                    <xsd:enumeration value="FWC"/>
                  </xsd:restriction>
                </xsd:simpleType>
              </xsd:element>
            </xsd:sequence>
          </xsd:extension>
        </xsd:complexContent>
      </xsd:complexType>
    </xsd:element>
    <xsd:element name="Service_x0020_Area" ma:index="27" nillable="true" ma:displayName="Service Area" ma:format="Dropdown" ma:internalName="Service_x0020_Area">
      <xsd:simpleType>
        <xsd:restriction base="dms:Choice">
          <xsd:enumeration value="Communications"/>
          <xsd:enumeration value="Framework contracts"/>
          <xsd:enumeration value="Grant management"/>
          <xsd:enumeration value="Humanitarian assistance"/>
          <xsd:enumeration value="M&amp;E"/>
          <xsd:enumeration value="Project identification &amp; design"/>
          <xsd:enumeration value="Project implementation"/>
          <xsd:enumeration value="Technical advisory services"/>
          <xsd:enumeration value="Training and capacity building"/>
        </xsd:restriction>
      </xsd:simpleType>
    </xsd:element>
    <xsd:element name="Live_x002f_Closed" ma:index="28" nillable="true" ma:displayName="Live/Closed" ma:default="Live" ma:format="RadioButtons" ma:internalName="Live_x002f_Closed">
      <xsd:simpleType>
        <xsd:restriction base="dms:Choice">
          <xsd:enumeration value="Live"/>
          <xsd:enumeration value="Closed"/>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4630-0A78-49B0-BB45-AC88D511BFF2}">
  <ds:schemaRefs>
    <ds:schemaRef ds:uri="http://schemas.microsoft.com/office/2006/metadata/properties"/>
    <ds:schemaRef ds:uri="http://schemas.microsoft.com/office/infopath/2007/PartnerControls"/>
    <ds:schemaRef ds:uri="4da462fd-eb0f-4971-bbf8-8950d08a8357"/>
    <ds:schemaRef ds:uri="ea46cada-5297-45cd-b734-0621e8d20f91"/>
  </ds:schemaRefs>
</ds:datastoreItem>
</file>

<file path=customXml/itemProps2.xml><?xml version="1.0" encoding="utf-8"?>
<ds:datastoreItem xmlns:ds="http://schemas.openxmlformats.org/officeDocument/2006/customXml" ds:itemID="{BEA2EECF-43B4-464B-BA40-14667888FABC}">
  <ds:schemaRefs>
    <ds:schemaRef ds:uri="http://schemas.microsoft.com/sharepoint/v3/contenttype/forms"/>
  </ds:schemaRefs>
</ds:datastoreItem>
</file>

<file path=customXml/itemProps3.xml><?xml version="1.0" encoding="utf-8"?>
<ds:datastoreItem xmlns:ds="http://schemas.openxmlformats.org/officeDocument/2006/customXml" ds:itemID="{CFD54817-874E-42DE-B088-EDB92310D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cada-5297-45cd-b734-0621e8d20f91"/>
    <ds:schemaRef ds:uri="4da462fd-eb0f-4971-bbf8-8950d08a8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00782-32D9-4263-AB71-FA27FB4A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6067</Words>
  <Characters>34582</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Annexe-M_Note-de-cadrage_AMI_SESA_clean 12 10 2022</vt:lpstr>
      <vt:lpstr>Microsoft Word - Annexe-M_Note-de-cadrage_AMI_SESA_clean 12 10 2022</vt:lpstr>
    </vt:vector>
  </TitlesOfParts>
  <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Annexe-M_Note-de-cadrage_AMI_SESA_clean 12 10 2022</dc:title>
  <dc:creator>Bibarje</dc:creator>
  <cp:lastModifiedBy>SPINELLI Zena (EEAS-BUJUMBURA)</cp:lastModifiedBy>
  <cp:revision>5</cp:revision>
  <dcterms:created xsi:type="dcterms:W3CDTF">2023-12-19T15:54:00Z</dcterms:created>
  <dcterms:modified xsi:type="dcterms:W3CDTF">2023-12-19T15:59:00Z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LastSaved">
    <vt:filetime>2023-04-11T00:00:00Z</vt:filetime>
  </property>
  <property fmtid="{D5CDD505-2E9C-101B-9397-08002B2CF9AE}" pid="4" name="MediaServiceImageTags">
    <vt:lpwstr/>
  </property>
  <property fmtid="{D5CDD505-2E9C-101B-9397-08002B2CF9AE}" pid="5" name="ContentTypeId">
    <vt:lpwstr>0x010100EAAA48A8556EBA4197F2B6D15EFCA202</vt:lpwstr>
  </property>
</Properties>
</file>