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2712" w14:textId="03B50F39" w:rsidR="00BD2765" w:rsidRPr="0008440B" w:rsidRDefault="00BD2765" w:rsidP="00D475D2">
      <w:pPr>
        <w:spacing w:before="60" w:after="60"/>
        <w:jc w:val="center"/>
        <w:rPr>
          <w:b/>
          <w:color w:val="000000"/>
          <w:sz w:val="24"/>
          <w:szCs w:val="24"/>
          <w:lang w:val="en-GB"/>
        </w:rPr>
      </w:pPr>
      <w:bookmarkStart w:id="0" w:name="_Hlk151982847"/>
      <w:r w:rsidRPr="0008440B">
        <w:rPr>
          <w:b/>
          <w:color w:val="000000"/>
          <w:sz w:val="24"/>
          <w:szCs w:val="24"/>
          <w:lang w:val="en-GB"/>
        </w:rPr>
        <w:t>Terms of Reference</w:t>
      </w:r>
    </w:p>
    <w:p w14:paraId="0CE06BF8" w14:textId="065447D6" w:rsidR="00064CE9" w:rsidRPr="0008440B" w:rsidRDefault="00BD2765" w:rsidP="00D475D2">
      <w:pPr>
        <w:spacing w:before="60" w:after="60"/>
        <w:jc w:val="center"/>
        <w:rPr>
          <w:b/>
          <w:color w:val="000000"/>
          <w:sz w:val="24"/>
          <w:szCs w:val="24"/>
          <w:shd w:val="clear" w:color="auto" w:fill="FFFFFF"/>
          <w:lang w:val="en-GB"/>
        </w:rPr>
      </w:pPr>
      <w:r w:rsidRPr="0008440B">
        <w:rPr>
          <w:b/>
          <w:color w:val="000000"/>
          <w:sz w:val="24"/>
          <w:szCs w:val="24"/>
          <w:lang w:val="en-GB"/>
        </w:rPr>
        <w:t xml:space="preserve"> for Junior Non-Key </w:t>
      </w:r>
      <w:r w:rsidR="00621B1D" w:rsidRPr="0008440B">
        <w:rPr>
          <w:b/>
          <w:color w:val="000000"/>
          <w:sz w:val="24"/>
          <w:szCs w:val="24"/>
          <w:lang w:val="en-GB"/>
        </w:rPr>
        <w:t xml:space="preserve">Legal </w:t>
      </w:r>
      <w:r w:rsidRPr="0008440B">
        <w:rPr>
          <w:b/>
          <w:color w:val="000000"/>
          <w:sz w:val="24"/>
          <w:szCs w:val="24"/>
          <w:lang w:val="en-GB"/>
        </w:rPr>
        <w:t xml:space="preserve">Expert </w:t>
      </w:r>
      <w:bookmarkStart w:id="1" w:name="_Hlk97122201"/>
      <w:r w:rsidR="004C5CDA" w:rsidRPr="0008440B">
        <w:rPr>
          <w:b/>
          <w:color w:val="000000"/>
          <w:sz w:val="24"/>
          <w:szCs w:val="24"/>
          <w:lang w:val="en-GB"/>
        </w:rPr>
        <w:t xml:space="preserve">to </w:t>
      </w:r>
      <w:r w:rsidR="00064CE9" w:rsidRPr="0008440B">
        <w:rPr>
          <w:b/>
          <w:color w:val="000000"/>
          <w:sz w:val="24"/>
          <w:szCs w:val="24"/>
          <w:lang w:val="en-GB"/>
        </w:rPr>
        <w:t>S</w:t>
      </w:r>
      <w:r w:rsidR="004C5CDA" w:rsidRPr="0008440B">
        <w:rPr>
          <w:b/>
          <w:color w:val="000000"/>
          <w:sz w:val="24"/>
          <w:szCs w:val="24"/>
          <w:lang w:val="en-GB"/>
        </w:rPr>
        <w:t>upport MoH on</w:t>
      </w:r>
      <w:r w:rsidRPr="0008440B">
        <w:rPr>
          <w:b/>
          <w:color w:val="000000"/>
          <w:sz w:val="24"/>
          <w:szCs w:val="24"/>
          <w:lang w:val="en-GB"/>
        </w:rPr>
        <w:t xml:space="preserve"> </w:t>
      </w:r>
      <w:r w:rsidR="00064CE9" w:rsidRPr="0008440B">
        <w:rPr>
          <w:b/>
          <w:color w:val="000000"/>
          <w:sz w:val="24"/>
          <w:szCs w:val="24"/>
          <w:lang w:val="en-GB"/>
        </w:rPr>
        <w:t>A</w:t>
      </w:r>
      <w:r w:rsidR="00267B56" w:rsidRPr="0008440B">
        <w:rPr>
          <w:b/>
          <w:color w:val="000000"/>
          <w:sz w:val="24"/>
          <w:szCs w:val="24"/>
          <w:shd w:val="clear" w:color="auto" w:fill="FFFFFF"/>
          <w:lang w:val="en-GB"/>
        </w:rPr>
        <w:t xml:space="preserve">pproximation </w:t>
      </w:r>
    </w:p>
    <w:p w14:paraId="6404BE32" w14:textId="0B62EAB4" w:rsidR="00BD2765" w:rsidRPr="0008440B" w:rsidRDefault="00267B56" w:rsidP="00D475D2">
      <w:pPr>
        <w:spacing w:before="60" w:after="60"/>
        <w:jc w:val="center"/>
        <w:rPr>
          <w:b/>
          <w:color w:val="000000"/>
          <w:sz w:val="24"/>
          <w:szCs w:val="24"/>
          <w:lang w:val="en-GB"/>
        </w:rPr>
      </w:pPr>
      <w:r w:rsidRPr="0008440B">
        <w:rPr>
          <w:b/>
          <w:color w:val="000000"/>
          <w:sz w:val="24"/>
          <w:szCs w:val="24"/>
          <w:shd w:val="clear" w:color="auto" w:fill="FFFFFF"/>
          <w:lang w:val="en-GB"/>
        </w:rPr>
        <w:t xml:space="preserve">with the EU in the </w:t>
      </w:r>
      <w:r w:rsidR="00064CE9" w:rsidRPr="0008440B">
        <w:rPr>
          <w:b/>
          <w:color w:val="000000"/>
          <w:sz w:val="24"/>
          <w:szCs w:val="24"/>
          <w:shd w:val="clear" w:color="auto" w:fill="FFFFFF"/>
          <w:lang w:val="en-GB"/>
        </w:rPr>
        <w:t>P</w:t>
      </w:r>
      <w:r w:rsidRPr="0008440B">
        <w:rPr>
          <w:b/>
          <w:color w:val="000000"/>
          <w:sz w:val="24"/>
          <w:szCs w:val="24"/>
          <w:shd w:val="clear" w:color="auto" w:fill="FFFFFF"/>
          <w:lang w:val="en-GB"/>
        </w:rPr>
        <w:t xml:space="preserve">ublic </w:t>
      </w:r>
      <w:r w:rsidR="00064CE9" w:rsidRPr="0008440B">
        <w:rPr>
          <w:b/>
          <w:color w:val="000000"/>
          <w:sz w:val="24"/>
          <w:szCs w:val="24"/>
          <w:shd w:val="clear" w:color="auto" w:fill="FFFFFF"/>
          <w:lang w:val="en-GB"/>
        </w:rPr>
        <w:t>H</w:t>
      </w:r>
      <w:r w:rsidRPr="0008440B">
        <w:rPr>
          <w:b/>
          <w:color w:val="000000"/>
          <w:sz w:val="24"/>
          <w:szCs w:val="24"/>
          <w:shd w:val="clear" w:color="auto" w:fill="FFFFFF"/>
          <w:lang w:val="en-GB"/>
        </w:rPr>
        <w:t xml:space="preserve">ealth </w:t>
      </w:r>
      <w:r w:rsidR="00064CE9" w:rsidRPr="0008440B">
        <w:rPr>
          <w:b/>
          <w:color w:val="000000"/>
          <w:sz w:val="24"/>
          <w:szCs w:val="24"/>
          <w:shd w:val="clear" w:color="auto" w:fill="FFFFFF"/>
          <w:lang w:val="en-GB"/>
        </w:rPr>
        <w:t>A</w:t>
      </w:r>
      <w:r w:rsidRPr="0008440B">
        <w:rPr>
          <w:b/>
          <w:color w:val="000000"/>
          <w:sz w:val="24"/>
          <w:szCs w:val="24"/>
          <w:shd w:val="clear" w:color="auto" w:fill="FFFFFF"/>
          <w:lang w:val="en-GB"/>
        </w:rPr>
        <w:t>rea</w:t>
      </w:r>
      <w:bookmarkEnd w:id="1"/>
      <w:r w:rsidR="0008440B" w:rsidRPr="0008440B">
        <w:rPr>
          <w:rStyle w:val="af2"/>
          <w:b/>
          <w:color w:val="000000"/>
          <w:sz w:val="24"/>
          <w:szCs w:val="24"/>
          <w:shd w:val="clear" w:color="auto" w:fill="FFFFFF"/>
          <w:lang w:val="en-GB"/>
        </w:rPr>
        <w:footnoteReference w:id="1"/>
      </w:r>
    </w:p>
    <w:bookmarkEnd w:id="0"/>
    <w:tbl>
      <w:tblPr>
        <w:tblW w:w="957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4A0" w:firstRow="1" w:lastRow="0" w:firstColumn="1" w:lastColumn="0" w:noHBand="0" w:noVBand="1"/>
      </w:tblPr>
      <w:tblGrid>
        <w:gridCol w:w="1918"/>
        <w:gridCol w:w="1496"/>
        <w:gridCol w:w="1572"/>
        <w:gridCol w:w="2272"/>
        <w:gridCol w:w="2315"/>
      </w:tblGrid>
      <w:tr w:rsidR="00BD2765" w:rsidRPr="0008440B" w14:paraId="6DACBE4A" w14:textId="77777777" w:rsidTr="00E13E83">
        <w:trPr>
          <w:trHeight w:val="985"/>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365F91"/>
            <w:vAlign w:val="center"/>
          </w:tcPr>
          <w:p w14:paraId="25016A25" w14:textId="77777777" w:rsidR="00BD2765" w:rsidRPr="0008440B" w:rsidRDefault="00BD2765" w:rsidP="00D475D2">
            <w:pPr>
              <w:spacing w:before="60" w:after="60"/>
              <w:rPr>
                <w:b/>
                <w:color w:val="44546A"/>
                <w:sz w:val="24"/>
                <w:szCs w:val="24"/>
                <w:lang w:val="en-GB"/>
              </w:rPr>
            </w:pPr>
          </w:p>
        </w:tc>
        <w:tc>
          <w:tcPr>
            <w:tcW w:w="1572" w:type="dxa"/>
            <w:tcBorders>
              <w:top w:val="single" w:sz="4" w:space="0" w:color="00000A"/>
              <w:left w:val="single" w:sz="4" w:space="0" w:color="00000A"/>
              <w:bottom w:val="single" w:sz="4" w:space="0" w:color="00000A"/>
              <w:right w:val="single" w:sz="4" w:space="0" w:color="00000A"/>
            </w:tcBorders>
            <w:shd w:val="clear" w:color="auto" w:fill="365F91"/>
            <w:hideMark/>
          </w:tcPr>
          <w:p w14:paraId="4251C916" w14:textId="77777777" w:rsidR="00BD2765" w:rsidRPr="0008440B" w:rsidRDefault="00BD2765" w:rsidP="00D475D2">
            <w:pPr>
              <w:keepNext/>
              <w:jc w:val="center"/>
              <w:rPr>
                <w:b/>
                <w:color w:val="FFFFFF"/>
                <w:sz w:val="24"/>
                <w:szCs w:val="24"/>
                <w:lang w:val="en-GB"/>
              </w:rPr>
            </w:pPr>
            <w:r w:rsidRPr="0008440B">
              <w:rPr>
                <w:b/>
                <w:color w:val="FFFFFF"/>
                <w:sz w:val="24"/>
                <w:szCs w:val="24"/>
                <w:lang w:val="en-GB"/>
              </w:rPr>
              <w:t>Level of Seniority</w:t>
            </w:r>
          </w:p>
        </w:tc>
        <w:tc>
          <w:tcPr>
            <w:tcW w:w="2272" w:type="dxa"/>
            <w:tcBorders>
              <w:top w:val="single" w:sz="4" w:space="0" w:color="00000A"/>
              <w:left w:val="single" w:sz="4" w:space="0" w:color="00000A"/>
              <w:bottom w:val="single" w:sz="4" w:space="0" w:color="00000A"/>
              <w:right w:val="single" w:sz="4" w:space="0" w:color="00000A"/>
            </w:tcBorders>
            <w:shd w:val="clear" w:color="auto" w:fill="365F91"/>
            <w:hideMark/>
          </w:tcPr>
          <w:p w14:paraId="569C1AF2" w14:textId="77777777" w:rsidR="00BD2765" w:rsidRPr="0008440B" w:rsidRDefault="00BD2765" w:rsidP="00D475D2">
            <w:pPr>
              <w:keepNext/>
              <w:jc w:val="center"/>
              <w:rPr>
                <w:b/>
                <w:color w:val="FFFFFF"/>
                <w:sz w:val="24"/>
                <w:szCs w:val="24"/>
                <w:lang w:val="en-GB"/>
              </w:rPr>
            </w:pPr>
            <w:r w:rsidRPr="0008440B">
              <w:rPr>
                <w:b/>
                <w:color w:val="FFFFFF"/>
                <w:sz w:val="24"/>
                <w:szCs w:val="24"/>
                <w:lang w:val="en-GB"/>
              </w:rPr>
              <w:t>Number of days (total)</w:t>
            </w:r>
          </w:p>
        </w:tc>
        <w:tc>
          <w:tcPr>
            <w:tcW w:w="2315" w:type="dxa"/>
            <w:tcBorders>
              <w:top w:val="single" w:sz="4" w:space="0" w:color="00000A"/>
              <w:left w:val="single" w:sz="4" w:space="0" w:color="00000A"/>
              <w:bottom w:val="single" w:sz="4" w:space="0" w:color="00000A"/>
              <w:right w:val="single" w:sz="4" w:space="0" w:color="00000A"/>
            </w:tcBorders>
            <w:shd w:val="clear" w:color="auto" w:fill="365F91"/>
            <w:hideMark/>
          </w:tcPr>
          <w:p w14:paraId="3DC29A78" w14:textId="77777777" w:rsidR="00BD2765" w:rsidRPr="0008440B" w:rsidRDefault="00BD2765" w:rsidP="00D475D2">
            <w:pPr>
              <w:keepNext/>
              <w:jc w:val="center"/>
              <w:rPr>
                <w:b/>
                <w:color w:val="FFFFFF"/>
                <w:sz w:val="24"/>
                <w:szCs w:val="24"/>
                <w:lang w:val="en-GB"/>
              </w:rPr>
            </w:pPr>
            <w:r w:rsidRPr="0008440B">
              <w:rPr>
                <w:b/>
                <w:color w:val="FFFFFF"/>
                <w:sz w:val="24"/>
                <w:szCs w:val="24"/>
                <w:lang w:val="en-GB"/>
              </w:rPr>
              <w:t>Special requests for endorsement</w:t>
            </w:r>
          </w:p>
        </w:tc>
      </w:tr>
      <w:tr w:rsidR="00BD2765" w:rsidRPr="0008440B" w14:paraId="0481F800" w14:textId="77777777" w:rsidTr="00E13E83">
        <w:trPr>
          <w:trHeight w:val="453"/>
        </w:trPr>
        <w:tc>
          <w:tcPr>
            <w:tcW w:w="3414" w:type="dxa"/>
            <w:gridSpan w:val="2"/>
            <w:tcBorders>
              <w:top w:val="single" w:sz="4" w:space="0" w:color="00000A"/>
              <w:left w:val="single" w:sz="4" w:space="0" w:color="00000A"/>
              <w:bottom w:val="single" w:sz="4" w:space="0" w:color="00000A"/>
              <w:right w:val="single" w:sz="4" w:space="0" w:color="00000A"/>
            </w:tcBorders>
            <w:hideMark/>
          </w:tcPr>
          <w:p w14:paraId="170D0EC7" w14:textId="60B5B626" w:rsidR="00BD2765" w:rsidRPr="0008440B" w:rsidRDefault="0008440B" w:rsidP="00D475D2">
            <w:pPr>
              <w:spacing w:before="60" w:after="60"/>
              <w:jc w:val="center"/>
              <w:rPr>
                <w:color w:val="000000"/>
                <w:sz w:val="24"/>
                <w:szCs w:val="24"/>
                <w:lang w:val="en-GB"/>
              </w:rPr>
            </w:pPr>
            <w:r w:rsidRPr="0008440B">
              <w:rPr>
                <w:color w:val="000000"/>
                <w:sz w:val="24"/>
                <w:szCs w:val="24"/>
                <w:lang w:val="en-GB"/>
              </w:rPr>
              <w:t>Legal n</w:t>
            </w:r>
            <w:r w:rsidR="00BD2765" w:rsidRPr="0008440B">
              <w:rPr>
                <w:color w:val="000000"/>
                <w:sz w:val="24"/>
                <w:szCs w:val="24"/>
                <w:lang w:val="en-GB"/>
              </w:rPr>
              <w:t>ational non-key expert</w:t>
            </w:r>
          </w:p>
        </w:tc>
        <w:tc>
          <w:tcPr>
            <w:tcW w:w="1572" w:type="dxa"/>
            <w:tcBorders>
              <w:top w:val="single" w:sz="4" w:space="0" w:color="00000A"/>
              <w:left w:val="single" w:sz="4" w:space="0" w:color="00000A"/>
              <w:bottom w:val="single" w:sz="4" w:space="0" w:color="00000A"/>
              <w:right w:val="single" w:sz="4" w:space="0" w:color="00000A"/>
            </w:tcBorders>
            <w:vAlign w:val="center"/>
            <w:hideMark/>
          </w:tcPr>
          <w:p w14:paraId="6AFC9F5D" w14:textId="58329972" w:rsidR="00BD2765" w:rsidRPr="0008440B" w:rsidRDefault="00BD2765" w:rsidP="00D475D2">
            <w:pPr>
              <w:spacing w:before="60" w:after="60"/>
              <w:jc w:val="center"/>
              <w:rPr>
                <w:color w:val="000000"/>
                <w:sz w:val="24"/>
                <w:szCs w:val="24"/>
                <w:lang w:val="en-GB"/>
              </w:rPr>
            </w:pPr>
            <w:r w:rsidRPr="0008440B">
              <w:rPr>
                <w:color w:val="000000"/>
                <w:sz w:val="24"/>
                <w:szCs w:val="24"/>
                <w:lang w:val="en-GB"/>
              </w:rPr>
              <w:t>Junior</w:t>
            </w:r>
          </w:p>
        </w:tc>
        <w:tc>
          <w:tcPr>
            <w:tcW w:w="2272" w:type="dxa"/>
            <w:tcBorders>
              <w:top w:val="single" w:sz="4" w:space="0" w:color="00000A"/>
              <w:left w:val="single" w:sz="4" w:space="0" w:color="00000A"/>
              <w:bottom w:val="single" w:sz="4" w:space="0" w:color="00000A"/>
              <w:right w:val="single" w:sz="4" w:space="0" w:color="00000A"/>
            </w:tcBorders>
            <w:vAlign w:val="center"/>
            <w:hideMark/>
          </w:tcPr>
          <w:p w14:paraId="787AA007" w14:textId="0F2756DE" w:rsidR="00BD2765" w:rsidRPr="0008440B" w:rsidRDefault="00BD2765" w:rsidP="00D475D2">
            <w:pPr>
              <w:spacing w:before="60" w:after="60"/>
              <w:jc w:val="center"/>
              <w:rPr>
                <w:color w:val="000000"/>
                <w:sz w:val="24"/>
                <w:szCs w:val="24"/>
                <w:lang w:val="en-GB"/>
              </w:rPr>
            </w:pPr>
            <w:r w:rsidRPr="0008440B">
              <w:rPr>
                <w:color w:val="000000"/>
                <w:sz w:val="24"/>
                <w:szCs w:val="24"/>
                <w:lang w:val="en-GB"/>
              </w:rPr>
              <w:t xml:space="preserve">Up to </w:t>
            </w:r>
            <w:r w:rsidR="00267B56" w:rsidRPr="0008440B">
              <w:rPr>
                <w:color w:val="000000"/>
                <w:sz w:val="24"/>
                <w:szCs w:val="24"/>
                <w:lang w:val="en-GB"/>
              </w:rPr>
              <w:t>330</w:t>
            </w:r>
          </w:p>
        </w:tc>
        <w:tc>
          <w:tcPr>
            <w:tcW w:w="2315" w:type="dxa"/>
            <w:tcBorders>
              <w:top w:val="single" w:sz="4" w:space="0" w:color="00000A"/>
              <w:left w:val="single" w:sz="4" w:space="0" w:color="00000A"/>
              <w:bottom w:val="single" w:sz="4" w:space="0" w:color="00000A"/>
              <w:right w:val="single" w:sz="4" w:space="0" w:color="00000A"/>
            </w:tcBorders>
            <w:vAlign w:val="center"/>
            <w:hideMark/>
          </w:tcPr>
          <w:p w14:paraId="135A2674" w14:textId="110926FD" w:rsidR="00BD2765" w:rsidRPr="00467A92" w:rsidRDefault="00621B1D" w:rsidP="00D475D2">
            <w:pPr>
              <w:spacing w:before="60" w:after="60"/>
              <w:jc w:val="center"/>
              <w:rPr>
                <w:color w:val="000000"/>
                <w:sz w:val="24"/>
                <w:szCs w:val="24"/>
                <w:lang w:val="en-GB"/>
              </w:rPr>
            </w:pPr>
            <w:r w:rsidRPr="00467A92">
              <w:rPr>
                <w:color w:val="000000"/>
                <w:sz w:val="24"/>
                <w:szCs w:val="24"/>
                <w:lang w:val="en-GB"/>
              </w:rPr>
              <w:t>Ministry of Health</w:t>
            </w:r>
          </w:p>
        </w:tc>
      </w:tr>
      <w:tr w:rsidR="00BD2765" w:rsidRPr="0008440B" w14:paraId="2E98890F" w14:textId="77777777" w:rsidTr="00BD2765">
        <w:tc>
          <w:tcPr>
            <w:tcW w:w="1918" w:type="dxa"/>
            <w:tcBorders>
              <w:top w:val="single" w:sz="4" w:space="0" w:color="00000A"/>
              <w:left w:val="single" w:sz="4" w:space="0" w:color="00000A"/>
              <w:bottom w:val="single" w:sz="4" w:space="0" w:color="00000A"/>
              <w:right w:val="single" w:sz="4" w:space="0" w:color="00000A"/>
            </w:tcBorders>
            <w:shd w:val="clear" w:color="auto" w:fill="365F91"/>
            <w:vAlign w:val="center"/>
            <w:hideMark/>
          </w:tcPr>
          <w:p w14:paraId="588E6C30" w14:textId="77777777" w:rsidR="00BD2765" w:rsidRPr="0008440B" w:rsidRDefault="00BD2765" w:rsidP="00D475D2">
            <w:pPr>
              <w:spacing w:before="60" w:after="60"/>
              <w:rPr>
                <w:b/>
                <w:color w:val="FFFFFF"/>
                <w:sz w:val="24"/>
                <w:szCs w:val="24"/>
                <w:lang w:val="en-GB"/>
              </w:rPr>
            </w:pPr>
            <w:r w:rsidRPr="0008440B">
              <w:rPr>
                <w:b/>
                <w:color w:val="FFFFFF"/>
                <w:sz w:val="24"/>
                <w:szCs w:val="24"/>
                <w:lang w:val="en-GB"/>
              </w:rPr>
              <w:t>Component:</w:t>
            </w:r>
          </w:p>
        </w:tc>
        <w:tc>
          <w:tcPr>
            <w:tcW w:w="7655" w:type="dxa"/>
            <w:gridSpan w:val="4"/>
            <w:tcBorders>
              <w:top w:val="single" w:sz="4" w:space="0" w:color="00000A"/>
              <w:left w:val="single" w:sz="4" w:space="0" w:color="00000A"/>
              <w:bottom w:val="single" w:sz="4" w:space="0" w:color="00000A"/>
              <w:right w:val="single" w:sz="4" w:space="0" w:color="00000A"/>
            </w:tcBorders>
            <w:hideMark/>
          </w:tcPr>
          <w:p w14:paraId="6AD954D6" w14:textId="3C5743B5" w:rsidR="00BD2765" w:rsidRPr="00467A92" w:rsidRDefault="00F5345D" w:rsidP="00467A92">
            <w:pPr>
              <w:autoSpaceDE w:val="0"/>
              <w:autoSpaceDN w:val="0"/>
              <w:adjustRightInd w:val="0"/>
              <w:ind w:left="137"/>
              <w:rPr>
                <w:sz w:val="24"/>
                <w:szCs w:val="24"/>
                <w:lang w:val="en-GB"/>
              </w:rPr>
            </w:pPr>
            <w:r w:rsidRPr="00467A92">
              <w:rPr>
                <w:sz w:val="24"/>
                <w:szCs w:val="24"/>
                <w:lang w:val="en-GB"/>
              </w:rPr>
              <w:t>Component 1, Sub-result 1.1 A regulatory PH framework is in place and aligned with EU requirements</w:t>
            </w:r>
          </w:p>
        </w:tc>
      </w:tr>
      <w:tr w:rsidR="00BD2765" w:rsidRPr="0008440B" w14:paraId="19C3C058" w14:textId="77777777" w:rsidTr="00BD2765">
        <w:tc>
          <w:tcPr>
            <w:tcW w:w="1918" w:type="dxa"/>
            <w:tcBorders>
              <w:top w:val="single" w:sz="4" w:space="0" w:color="00000A"/>
              <w:left w:val="single" w:sz="4" w:space="0" w:color="00000A"/>
              <w:bottom w:val="single" w:sz="4" w:space="0" w:color="00000A"/>
              <w:right w:val="single" w:sz="4" w:space="0" w:color="00000A"/>
            </w:tcBorders>
            <w:shd w:val="clear" w:color="auto" w:fill="365F91"/>
            <w:vAlign w:val="center"/>
            <w:hideMark/>
          </w:tcPr>
          <w:p w14:paraId="2CCECCE8" w14:textId="77777777" w:rsidR="00BD2765" w:rsidRPr="0008440B" w:rsidRDefault="00BD2765" w:rsidP="00D475D2">
            <w:pPr>
              <w:spacing w:before="60" w:after="60"/>
              <w:rPr>
                <w:color w:val="FFFFFF"/>
                <w:sz w:val="24"/>
                <w:szCs w:val="24"/>
                <w:lang w:val="en-GB"/>
              </w:rPr>
            </w:pPr>
            <w:r w:rsidRPr="0008440B">
              <w:rPr>
                <w:b/>
                <w:color w:val="FFFFFF"/>
                <w:sz w:val="24"/>
                <w:szCs w:val="24"/>
                <w:lang w:val="en-GB"/>
              </w:rPr>
              <w:t>Activities:</w:t>
            </w:r>
          </w:p>
        </w:tc>
        <w:tc>
          <w:tcPr>
            <w:tcW w:w="7655" w:type="dxa"/>
            <w:gridSpan w:val="4"/>
            <w:tcBorders>
              <w:top w:val="single" w:sz="4" w:space="0" w:color="00000A"/>
              <w:left w:val="single" w:sz="4" w:space="0" w:color="00000A"/>
              <w:bottom w:val="single" w:sz="4" w:space="0" w:color="00000A"/>
              <w:right w:val="single" w:sz="4" w:space="0" w:color="00000A"/>
            </w:tcBorders>
            <w:hideMark/>
          </w:tcPr>
          <w:p w14:paraId="30DA53D4" w14:textId="70497F84" w:rsidR="00AC39B1" w:rsidRPr="00467A92" w:rsidRDefault="00FC062D" w:rsidP="00467A92">
            <w:pPr>
              <w:spacing w:before="60" w:after="60"/>
              <w:ind w:left="137"/>
              <w:jc w:val="both"/>
              <w:rPr>
                <w:sz w:val="24"/>
                <w:szCs w:val="24"/>
                <w:lang w:val="en-GB"/>
              </w:rPr>
            </w:pPr>
            <w:r w:rsidRPr="00467A92">
              <w:rPr>
                <w:sz w:val="24"/>
                <w:szCs w:val="24"/>
                <w:lang w:val="en-GB"/>
              </w:rPr>
              <w:t>Activity 1.1.1 Assistance in preparing/changing the regulatory framework, including required EU approximation, including identification and analysis of regulatory gaps, overlaps, and inconsistencies</w:t>
            </w:r>
            <w:r w:rsidR="003C0FDA" w:rsidRPr="00467A92">
              <w:rPr>
                <w:sz w:val="24"/>
                <w:szCs w:val="24"/>
                <w:lang w:val="en-GB"/>
              </w:rPr>
              <w:t>.</w:t>
            </w:r>
          </w:p>
          <w:p w14:paraId="1497AC90" w14:textId="22862067" w:rsidR="003F6DDA" w:rsidRPr="00467A92" w:rsidRDefault="003F6DDA" w:rsidP="00467A92">
            <w:pPr>
              <w:spacing w:before="60" w:after="60"/>
              <w:ind w:left="137"/>
              <w:jc w:val="both"/>
              <w:rPr>
                <w:bCs/>
                <w:sz w:val="24"/>
                <w:szCs w:val="24"/>
                <w:lang w:val="en-GB"/>
              </w:rPr>
            </w:pPr>
          </w:p>
        </w:tc>
      </w:tr>
      <w:tr w:rsidR="00BD2765" w:rsidRPr="0008440B" w14:paraId="07BD7539" w14:textId="77777777" w:rsidTr="00BD2765">
        <w:tc>
          <w:tcPr>
            <w:tcW w:w="1918" w:type="dxa"/>
            <w:tcBorders>
              <w:top w:val="single" w:sz="4" w:space="0" w:color="00000A"/>
              <w:left w:val="single" w:sz="4" w:space="0" w:color="00000A"/>
              <w:bottom w:val="single" w:sz="4" w:space="0" w:color="00000A"/>
              <w:right w:val="single" w:sz="4" w:space="0" w:color="00000A"/>
            </w:tcBorders>
            <w:shd w:val="clear" w:color="auto" w:fill="365F91"/>
            <w:vAlign w:val="center"/>
            <w:hideMark/>
          </w:tcPr>
          <w:p w14:paraId="05B6B402" w14:textId="4BDD376B" w:rsidR="00BD2765" w:rsidRPr="0008440B" w:rsidRDefault="00BD2765" w:rsidP="00D475D2">
            <w:pPr>
              <w:spacing w:before="60" w:after="60"/>
              <w:rPr>
                <w:b/>
                <w:color w:val="FFFFFF"/>
                <w:sz w:val="24"/>
                <w:szCs w:val="24"/>
                <w:lang w:val="en-GB"/>
              </w:rPr>
            </w:pPr>
            <w:r w:rsidRPr="0008440B">
              <w:rPr>
                <w:b/>
                <w:color w:val="FFFFFF"/>
                <w:sz w:val="24"/>
                <w:szCs w:val="24"/>
                <w:lang w:val="en-GB"/>
              </w:rPr>
              <w:t>Logframe reference:</w:t>
            </w:r>
          </w:p>
        </w:tc>
        <w:tc>
          <w:tcPr>
            <w:tcW w:w="7655" w:type="dxa"/>
            <w:gridSpan w:val="4"/>
            <w:tcBorders>
              <w:top w:val="single" w:sz="4" w:space="0" w:color="00000A"/>
              <w:left w:val="single" w:sz="4" w:space="0" w:color="00000A"/>
              <w:bottom w:val="single" w:sz="4" w:space="0" w:color="00000A"/>
              <w:right w:val="single" w:sz="4" w:space="0" w:color="00000A"/>
            </w:tcBorders>
            <w:hideMark/>
          </w:tcPr>
          <w:p w14:paraId="3BCA761E" w14:textId="77777777" w:rsidR="00F5345D" w:rsidRPr="00467A92" w:rsidRDefault="00F5345D" w:rsidP="00467A92">
            <w:pPr>
              <w:pStyle w:val="Default"/>
              <w:ind w:left="137"/>
              <w:jc w:val="both"/>
              <w:rPr>
                <w:rFonts w:ascii="Tahoma" w:hAnsi="Tahoma" w:cs="Tahoma"/>
                <w:color w:val="auto"/>
              </w:rPr>
            </w:pPr>
            <w:r w:rsidRPr="00467A92">
              <w:rPr>
                <w:rFonts w:ascii="Tahoma" w:hAnsi="Tahoma" w:cs="Tahoma"/>
                <w:color w:val="auto"/>
              </w:rPr>
              <w:t xml:space="preserve">To support the modernization and development of a sustainable Public Health System (PHS) that is able to ensure disease prevention and control standards in line with EU legislation, requirements and practices </w:t>
            </w:r>
          </w:p>
          <w:p w14:paraId="4D246181" w14:textId="344BB228" w:rsidR="00BD2765" w:rsidRPr="00467A92" w:rsidRDefault="00BD2765" w:rsidP="00467A92">
            <w:pPr>
              <w:spacing w:before="60" w:after="60"/>
              <w:ind w:left="137"/>
              <w:jc w:val="both"/>
              <w:rPr>
                <w:sz w:val="24"/>
                <w:szCs w:val="24"/>
                <w:lang w:val="en-GB"/>
              </w:rPr>
            </w:pPr>
          </w:p>
        </w:tc>
      </w:tr>
      <w:tr w:rsidR="00BD2765" w:rsidRPr="0008440B" w14:paraId="513CBFDE" w14:textId="77777777" w:rsidTr="00BD2765">
        <w:tc>
          <w:tcPr>
            <w:tcW w:w="1918" w:type="dxa"/>
            <w:tcBorders>
              <w:top w:val="single" w:sz="4" w:space="0" w:color="00000A"/>
              <w:left w:val="single" w:sz="4" w:space="0" w:color="00000A"/>
              <w:bottom w:val="single" w:sz="4" w:space="0" w:color="00000A"/>
              <w:right w:val="single" w:sz="4" w:space="0" w:color="00000A"/>
            </w:tcBorders>
            <w:shd w:val="clear" w:color="auto" w:fill="365F91"/>
            <w:vAlign w:val="center"/>
            <w:hideMark/>
          </w:tcPr>
          <w:p w14:paraId="0A46B9A4" w14:textId="77777777" w:rsidR="00BD2765" w:rsidRPr="0008440B" w:rsidRDefault="00BD2765" w:rsidP="00D475D2">
            <w:pPr>
              <w:spacing w:before="60" w:after="60"/>
              <w:rPr>
                <w:b/>
                <w:color w:val="FFFFFF"/>
                <w:sz w:val="24"/>
                <w:szCs w:val="24"/>
                <w:lang w:val="en-GB"/>
              </w:rPr>
            </w:pPr>
            <w:r w:rsidRPr="0008440B">
              <w:rPr>
                <w:b/>
                <w:color w:val="FFFFFF"/>
                <w:sz w:val="24"/>
                <w:szCs w:val="24"/>
                <w:lang w:val="en-GB"/>
              </w:rPr>
              <w:t>Location:</w:t>
            </w:r>
          </w:p>
        </w:tc>
        <w:tc>
          <w:tcPr>
            <w:tcW w:w="7655" w:type="dxa"/>
            <w:gridSpan w:val="4"/>
            <w:tcBorders>
              <w:top w:val="single" w:sz="4" w:space="0" w:color="00000A"/>
              <w:left w:val="single" w:sz="4" w:space="0" w:color="00000A"/>
              <w:bottom w:val="single" w:sz="4" w:space="0" w:color="00000A"/>
              <w:right w:val="single" w:sz="4" w:space="0" w:color="00000A"/>
            </w:tcBorders>
            <w:hideMark/>
          </w:tcPr>
          <w:p w14:paraId="564C8951" w14:textId="52590FD2" w:rsidR="00BD2765" w:rsidRPr="0008440B" w:rsidRDefault="00BD2765" w:rsidP="00D475D2">
            <w:pPr>
              <w:spacing w:before="60" w:after="60"/>
              <w:ind w:left="137"/>
              <w:jc w:val="both"/>
              <w:rPr>
                <w:color w:val="000000"/>
                <w:sz w:val="24"/>
                <w:szCs w:val="24"/>
                <w:lang w:val="en-GB"/>
              </w:rPr>
            </w:pPr>
            <w:r w:rsidRPr="0008440B">
              <w:rPr>
                <w:color w:val="000000"/>
                <w:sz w:val="24"/>
                <w:szCs w:val="24"/>
                <w:lang w:val="en-GB"/>
              </w:rPr>
              <w:t>Kyiv, Ukraine</w:t>
            </w:r>
          </w:p>
        </w:tc>
      </w:tr>
      <w:tr w:rsidR="00BD2765" w:rsidRPr="0008440B" w14:paraId="48A42071" w14:textId="77777777" w:rsidTr="00BD2765">
        <w:tc>
          <w:tcPr>
            <w:tcW w:w="1918" w:type="dxa"/>
            <w:tcBorders>
              <w:top w:val="single" w:sz="4" w:space="0" w:color="00000A"/>
              <w:left w:val="single" w:sz="4" w:space="0" w:color="00000A"/>
              <w:bottom w:val="single" w:sz="4" w:space="0" w:color="00000A"/>
              <w:right w:val="single" w:sz="4" w:space="0" w:color="00000A"/>
            </w:tcBorders>
            <w:shd w:val="clear" w:color="auto" w:fill="365F91"/>
            <w:vAlign w:val="center"/>
            <w:hideMark/>
          </w:tcPr>
          <w:p w14:paraId="22998084" w14:textId="77777777" w:rsidR="00BD2765" w:rsidRPr="0008440B" w:rsidRDefault="00BD2765" w:rsidP="00D475D2">
            <w:pPr>
              <w:spacing w:before="60" w:after="60"/>
              <w:rPr>
                <w:b/>
                <w:color w:val="FFFFFF"/>
                <w:sz w:val="24"/>
                <w:szCs w:val="24"/>
                <w:lang w:val="en-GB"/>
              </w:rPr>
            </w:pPr>
            <w:r w:rsidRPr="0008440B">
              <w:rPr>
                <w:b/>
                <w:color w:val="FFFFFF"/>
                <w:sz w:val="24"/>
                <w:szCs w:val="24"/>
                <w:lang w:val="en-GB"/>
              </w:rPr>
              <w:t>Intended start and end date:</w:t>
            </w:r>
          </w:p>
        </w:tc>
        <w:tc>
          <w:tcPr>
            <w:tcW w:w="7655" w:type="dxa"/>
            <w:gridSpan w:val="4"/>
            <w:tcBorders>
              <w:top w:val="single" w:sz="4" w:space="0" w:color="00000A"/>
              <w:left w:val="single" w:sz="4" w:space="0" w:color="00000A"/>
              <w:bottom w:val="single" w:sz="4" w:space="0" w:color="00000A"/>
              <w:right w:val="single" w:sz="4" w:space="0" w:color="00000A"/>
            </w:tcBorders>
            <w:hideMark/>
          </w:tcPr>
          <w:p w14:paraId="75E40BC3" w14:textId="51801FC2" w:rsidR="00BD2765" w:rsidRPr="0008440B" w:rsidRDefault="00267B56" w:rsidP="00D475D2">
            <w:pPr>
              <w:spacing w:before="60" w:after="60"/>
              <w:ind w:left="137"/>
              <w:jc w:val="both"/>
              <w:rPr>
                <w:color w:val="00000A"/>
                <w:sz w:val="24"/>
                <w:szCs w:val="24"/>
                <w:lang w:val="en-GB"/>
              </w:rPr>
            </w:pPr>
            <w:r w:rsidRPr="0008440B">
              <w:rPr>
                <w:color w:val="000000"/>
                <w:sz w:val="24"/>
                <w:szCs w:val="24"/>
                <w:lang w:val="en-GB"/>
              </w:rPr>
              <w:t>01</w:t>
            </w:r>
            <w:r w:rsidR="00FC062D" w:rsidRPr="0008440B">
              <w:rPr>
                <w:color w:val="000000"/>
                <w:sz w:val="24"/>
                <w:szCs w:val="24"/>
                <w:lang w:val="en-GB"/>
              </w:rPr>
              <w:t xml:space="preserve"> </w:t>
            </w:r>
            <w:r w:rsidR="0007653A" w:rsidRPr="0008440B">
              <w:rPr>
                <w:color w:val="000000"/>
                <w:sz w:val="24"/>
                <w:szCs w:val="24"/>
                <w:lang w:val="en-GB"/>
              </w:rPr>
              <w:t>January</w:t>
            </w:r>
            <w:r w:rsidR="00BD2765" w:rsidRPr="0008440B">
              <w:rPr>
                <w:color w:val="000000"/>
                <w:sz w:val="24"/>
                <w:szCs w:val="24"/>
                <w:lang w:val="en-GB"/>
              </w:rPr>
              <w:t xml:space="preserve"> 202</w:t>
            </w:r>
            <w:r w:rsidRPr="0008440B">
              <w:rPr>
                <w:color w:val="000000"/>
                <w:sz w:val="24"/>
                <w:szCs w:val="24"/>
                <w:lang w:val="en-GB"/>
              </w:rPr>
              <w:t>4</w:t>
            </w:r>
            <w:r w:rsidR="00BD2765" w:rsidRPr="0008440B">
              <w:rPr>
                <w:color w:val="000000"/>
                <w:sz w:val="24"/>
                <w:szCs w:val="24"/>
                <w:lang w:val="en-GB"/>
              </w:rPr>
              <w:t xml:space="preserve"> </w:t>
            </w:r>
            <w:r w:rsidR="0007653A" w:rsidRPr="0008440B">
              <w:rPr>
                <w:color w:val="000000"/>
                <w:sz w:val="24"/>
                <w:szCs w:val="24"/>
                <w:lang w:val="en-GB"/>
              </w:rPr>
              <w:t xml:space="preserve">to </w:t>
            </w:r>
            <w:r w:rsidR="0062541D" w:rsidRPr="0008440B">
              <w:rPr>
                <w:color w:val="000000"/>
                <w:sz w:val="24"/>
                <w:szCs w:val="24"/>
                <w:lang w:val="en-GB"/>
              </w:rPr>
              <w:t xml:space="preserve">12 </w:t>
            </w:r>
            <w:r w:rsidR="0007653A" w:rsidRPr="0008440B">
              <w:rPr>
                <w:color w:val="000000"/>
                <w:sz w:val="24"/>
                <w:szCs w:val="24"/>
                <w:lang w:val="en-GB"/>
              </w:rPr>
              <w:t xml:space="preserve">May </w:t>
            </w:r>
            <w:r w:rsidR="00BD2765" w:rsidRPr="0008440B">
              <w:rPr>
                <w:color w:val="000000"/>
                <w:sz w:val="24"/>
                <w:szCs w:val="24"/>
                <w:lang w:val="en-GB"/>
              </w:rPr>
              <w:t>202</w:t>
            </w:r>
            <w:r w:rsidRPr="0008440B">
              <w:rPr>
                <w:color w:val="000000"/>
                <w:sz w:val="24"/>
                <w:szCs w:val="24"/>
                <w:lang w:val="en-GB"/>
              </w:rPr>
              <w:t>5</w:t>
            </w:r>
          </w:p>
        </w:tc>
      </w:tr>
      <w:tr w:rsidR="00621B1D" w:rsidRPr="0008440B" w14:paraId="4BCA1B72" w14:textId="77777777" w:rsidTr="00BD2765">
        <w:tc>
          <w:tcPr>
            <w:tcW w:w="1918" w:type="dxa"/>
            <w:tcBorders>
              <w:top w:val="single" w:sz="4" w:space="0" w:color="00000A"/>
              <w:left w:val="single" w:sz="4" w:space="0" w:color="00000A"/>
              <w:bottom w:val="single" w:sz="4" w:space="0" w:color="00000A"/>
              <w:right w:val="single" w:sz="4" w:space="0" w:color="00000A"/>
            </w:tcBorders>
            <w:shd w:val="clear" w:color="auto" w:fill="365F91"/>
            <w:vAlign w:val="center"/>
          </w:tcPr>
          <w:p w14:paraId="19286050" w14:textId="032358BF" w:rsidR="00621B1D" w:rsidRPr="00467A92" w:rsidRDefault="00621B1D" w:rsidP="00D475D2">
            <w:pPr>
              <w:spacing w:before="60" w:after="60"/>
              <w:rPr>
                <w:b/>
                <w:color w:val="FFFFFF"/>
                <w:sz w:val="24"/>
                <w:szCs w:val="24"/>
                <w:lang w:val="en-GB"/>
              </w:rPr>
            </w:pPr>
            <w:r w:rsidRPr="00467A92">
              <w:rPr>
                <w:b/>
                <w:color w:val="FFFFFF"/>
                <w:sz w:val="24"/>
                <w:szCs w:val="24"/>
                <w:lang w:val="en-GB"/>
              </w:rPr>
              <w:t>Total number of experts</w:t>
            </w:r>
          </w:p>
        </w:tc>
        <w:tc>
          <w:tcPr>
            <w:tcW w:w="7655" w:type="dxa"/>
            <w:gridSpan w:val="4"/>
            <w:tcBorders>
              <w:top w:val="single" w:sz="4" w:space="0" w:color="00000A"/>
              <w:left w:val="single" w:sz="4" w:space="0" w:color="00000A"/>
              <w:bottom w:val="single" w:sz="4" w:space="0" w:color="00000A"/>
              <w:right w:val="single" w:sz="4" w:space="0" w:color="00000A"/>
            </w:tcBorders>
          </w:tcPr>
          <w:p w14:paraId="3D0389CC" w14:textId="5F5B43D7" w:rsidR="00621B1D" w:rsidRPr="0008440B" w:rsidRDefault="00621B1D" w:rsidP="00D475D2">
            <w:pPr>
              <w:spacing w:before="60" w:after="60"/>
              <w:ind w:left="137"/>
              <w:jc w:val="both"/>
              <w:rPr>
                <w:color w:val="000000"/>
                <w:sz w:val="24"/>
                <w:szCs w:val="24"/>
                <w:lang w:val="en-GB"/>
              </w:rPr>
            </w:pPr>
            <w:r w:rsidRPr="008D6CA1">
              <w:rPr>
                <w:color w:val="000000"/>
                <w:sz w:val="24"/>
                <w:szCs w:val="24"/>
                <w:lang w:val="en-GB"/>
              </w:rPr>
              <w:t>3 (three)</w:t>
            </w:r>
          </w:p>
        </w:tc>
      </w:tr>
    </w:tbl>
    <w:p w14:paraId="5E8DD5C2" w14:textId="77777777" w:rsidR="001E47CD" w:rsidRPr="0008440B" w:rsidRDefault="001E47CD" w:rsidP="00D475D2">
      <w:pPr>
        <w:rPr>
          <w:color w:val="000000"/>
          <w:sz w:val="24"/>
          <w:szCs w:val="24"/>
          <w:lang w:val="en-GB" w:eastAsia="en-US"/>
        </w:rPr>
      </w:pPr>
    </w:p>
    <w:p w14:paraId="178B691C" w14:textId="77777777" w:rsidR="001E47CD" w:rsidRPr="0008440B" w:rsidRDefault="001E47CD" w:rsidP="00D475D2">
      <w:pPr>
        <w:rPr>
          <w:color w:val="000000"/>
          <w:sz w:val="24"/>
          <w:szCs w:val="24"/>
          <w:lang w:val="en-GB" w:eastAsia="en-US"/>
        </w:rPr>
      </w:pPr>
    </w:p>
    <w:p w14:paraId="72B560F3" w14:textId="77777777" w:rsidR="00BD2765" w:rsidRPr="0008440B" w:rsidRDefault="00BD2765" w:rsidP="00D475D2">
      <w:pPr>
        <w:pStyle w:val="ab"/>
        <w:numPr>
          <w:ilvl w:val="0"/>
          <w:numId w:val="13"/>
        </w:numPr>
        <w:rPr>
          <w:rFonts w:ascii="Tahoma" w:hAnsi="Tahoma"/>
          <w:color w:val="00000A"/>
          <w:sz w:val="24"/>
          <w:szCs w:val="24"/>
        </w:rPr>
      </w:pPr>
      <w:r w:rsidRPr="0008440B">
        <w:rPr>
          <w:rFonts w:ascii="Tahoma" w:hAnsi="Tahoma"/>
          <w:b/>
          <w:color w:val="000000"/>
          <w:sz w:val="24"/>
          <w:szCs w:val="24"/>
        </w:rPr>
        <w:t>BACKGROUND &amp; JUSTIFICATION</w:t>
      </w:r>
    </w:p>
    <w:p w14:paraId="33553BF2" w14:textId="77777777" w:rsidR="00BD2765" w:rsidRPr="0008440B" w:rsidRDefault="00BD2765" w:rsidP="00D475D2">
      <w:pPr>
        <w:rPr>
          <w:b/>
          <w:color w:val="000000"/>
          <w:sz w:val="24"/>
          <w:szCs w:val="24"/>
          <w:lang w:val="en-GB"/>
        </w:rPr>
      </w:pPr>
    </w:p>
    <w:p w14:paraId="67E97B84" w14:textId="77777777" w:rsidR="00BD2765" w:rsidRPr="0008440B" w:rsidRDefault="00BD2765" w:rsidP="00D475D2">
      <w:pPr>
        <w:rPr>
          <w:b/>
          <w:color w:val="000000"/>
          <w:sz w:val="24"/>
          <w:szCs w:val="24"/>
          <w:lang w:val="en-GB"/>
        </w:rPr>
      </w:pPr>
      <w:r w:rsidRPr="0008440B">
        <w:rPr>
          <w:b/>
          <w:color w:val="000000"/>
          <w:sz w:val="24"/>
          <w:szCs w:val="24"/>
          <w:lang w:val="en-GB"/>
        </w:rPr>
        <w:t>1.1. Introduction</w:t>
      </w:r>
    </w:p>
    <w:p w14:paraId="5F8E291B" w14:textId="39F16A97" w:rsidR="00304C7F" w:rsidRPr="0008440B" w:rsidRDefault="00304C7F" w:rsidP="00304C7F">
      <w:pPr>
        <w:pStyle w:val="Default"/>
        <w:spacing w:before="360" w:after="144"/>
        <w:jc w:val="both"/>
        <w:rPr>
          <w:rFonts w:ascii="Tahoma" w:eastAsia="Times New Roman" w:hAnsi="Tahoma" w:cs="Tahoma"/>
          <w:color w:val="auto"/>
          <w:lang w:eastAsia="de-DE"/>
        </w:rPr>
      </w:pPr>
      <w:r w:rsidRPr="0008440B">
        <w:rPr>
          <w:rFonts w:ascii="Tahoma" w:eastAsia="Times New Roman" w:hAnsi="Tahoma" w:cs="Tahoma"/>
          <w:color w:val="auto"/>
          <w:lang w:eastAsia="de-DE"/>
        </w:rPr>
        <w:t xml:space="preserve">The project “Support to Ukraine for Developing a Modern Public Health System” forms part of the Ukrainian Reform Agenda, which is guided on the one hand by the Association Agreement </w:t>
      </w:r>
      <w:r w:rsidR="0062541D" w:rsidRPr="0008440B">
        <w:rPr>
          <w:rFonts w:ascii="Tahoma" w:eastAsia="Times New Roman" w:hAnsi="Tahoma" w:cs="Tahoma"/>
          <w:color w:val="auto"/>
          <w:lang w:eastAsia="de-DE"/>
        </w:rPr>
        <w:t xml:space="preserve">(AA) </w:t>
      </w:r>
      <w:r w:rsidRPr="0008440B">
        <w:rPr>
          <w:rFonts w:ascii="Tahoma" w:eastAsia="Times New Roman" w:hAnsi="Tahoma" w:cs="Tahoma"/>
          <w:color w:val="auto"/>
          <w:lang w:eastAsia="de-DE"/>
        </w:rPr>
        <w:t xml:space="preserve">signed with the European Commission and on the other hand by the </w:t>
      </w:r>
      <w:r w:rsidR="002B7332" w:rsidRPr="0008440B">
        <w:rPr>
          <w:rFonts w:ascii="Tahoma" w:eastAsia="Times New Roman" w:hAnsi="Tahoma" w:cs="Tahoma"/>
          <w:color w:val="auto"/>
          <w:lang w:eastAsia="de-DE"/>
        </w:rPr>
        <w:t>National Health Reform Strategy 2015-2020</w:t>
      </w:r>
      <w:r w:rsidR="002B7332" w:rsidRPr="0008440B">
        <w:rPr>
          <w:rStyle w:val="af2"/>
          <w:rFonts w:ascii="Tahoma" w:eastAsia="Times New Roman" w:hAnsi="Tahoma" w:cs="Tahoma"/>
          <w:color w:val="auto"/>
          <w:lang w:eastAsia="de-DE"/>
        </w:rPr>
        <w:footnoteReference w:id="2"/>
      </w:r>
      <w:r w:rsidRPr="0008440B">
        <w:rPr>
          <w:rFonts w:ascii="Tahoma" w:eastAsia="Times New Roman" w:hAnsi="Tahoma" w:cs="Tahoma"/>
          <w:color w:val="auto"/>
          <w:lang w:eastAsia="de-DE"/>
        </w:rPr>
        <w:t>. Component 1 of the project concerns the consolidation and empowerment of the State Institution “Public Health Center of the Ministry of Health of Ukraine” (UPHC) under the Ministry of Health; Component 2 supports strengthening of the Blood Transfusion System in Ukraine, while Component 3 focuses on communication, visibility, and information surrounding the first two components.</w:t>
      </w:r>
    </w:p>
    <w:p w14:paraId="08DD1D0C" w14:textId="77777777" w:rsidR="00B04B66" w:rsidRPr="0008440B" w:rsidRDefault="00B04B66" w:rsidP="00304C7F">
      <w:pPr>
        <w:pStyle w:val="Default"/>
        <w:spacing w:before="360" w:after="144"/>
        <w:jc w:val="both"/>
        <w:rPr>
          <w:rFonts w:ascii="Tahoma" w:hAnsi="Tahoma" w:cs="Tahoma"/>
        </w:rPr>
      </w:pPr>
    </w:p>
    <w:p w14:paraId="28948EFF" w14:textId="77777777" w:rsidR="005A1CC2" w:rsidRPr="0008440B" w:rsidRDefault="005A1CC2" w:rsidP="00304C7F">
      <w:pPr>
        <w:pStyle w:val="Default"/>
        <w:spacing w:before="360" w:after="144"/>
        <w:jc w:val="both"/>
        <w:rPr>
          <w:rFonts w:ascii="Tahoma" w:hAnsi="Tahoma" w:cs="Tahoma"/>
        </w:rPr>
      </w:pPr>
    </w:p>
    <w:p w14:paraId="22C4AA16" w14:textId="77777777" w:rsidR="0007653A" w:rsidRPr="0008440B" w:rsidRDefault="0007653A" w:rsidP="005A1CC2">
      <w:pPr>
        <w:pStyle w:val="Default"/>
        <w:spacing w:before="360" w:after="144"/>
        <w:jc w:val="both"/>
        <w:rPr>
          <w:rFonts w:ascii="Tahoma" w:hAnsi="Tahoma" w:cs="Tahoma"/>
        </w:rPr>
      </w:pPr>
    </w:p>
    <w:p w14:paraId="3C3D8347" w14:textId="5844393B" w:rsidR="005A1CC2" w:rsidRPr="00467A92" w:rsidRDefault="0007653A" w:rsidP="00C13F52">
      <w:pPr>
        <w:autoSpaceDE w:val="0"/>
        <w:autoSpaceDN w:val="0"/>
        <w:adjustRightInd w:val="0"/>
        <w:jc w:val="both"/>
        <w:rPr>
          <w:sz w:val="24"/>
          <w:szCs w:val="24"/>
          <w:lang w:val="en-GB"/>
        </w:rPr>
      </w:pPr>
      <w:r w:rsidRPr="0008440B">
        <w:rPr>
          <w:color w:val="000000"/>
          <w:sz w:val="24"/>
          <w:szCs w:val="24"/>
          <w:lang w:val="en-GB"/>
        </w:rPr>
        <w:t xml:space="preserve">The importance of </w:t>
      </w:r>
      <w:r w:rsidRPr="00467A92">
        <w:rPr>
          <w:sz w:val="24"/>
          <w:szCs w:val="24"/>
          <w:lang w:val="en-GB"/>
        </w:rPr>
        <w:t>public health</w:t>
      </w:r>
      <w:r w:rsidRPr="0008440B">
        <w:rPr>
          <w:color w:val="000000"/>
          <w:sz w:val="24"/>
          <w:szCs w:val="24"/>
          <w:lang w:val="en-GB"/>
        </w:rPr>
        <w:t xml:space="preserve"> for the relations between the EU and Ukraine is reflected in the Association Agreement</w:t>
      </w:r>
      <w:r w:rsidR="00064CE9" w:rsidRPr="0008440B">
        <w:rPr>
          <w:color w:val="000000"/>
          <w:sz w:val="24"/>
          <w:szCs w:val="24"/>
          <w:lang w:val="en-GB"/>
        </w:rPr>
        <w:t xml:space="preserve"> </w:t>
      </w:r>
      <w:r w:rsidRPr="0008440B">
        <w:rPr>
          <w:color w:val="000000"/>
          <w:sz w:val="24"/>
          <w:szCs w:val="24"/>
          <w:lang w:val="en-GB"/>
        </w:rPr>
        <w:t>in chapter 22. The candidate status of Ukraine was grated in June 2022 bring</w:t>
      </w:r>
      <w:r w:rsidR="00064CE9" w:rsidRPr="0008440B">
        <w:rPr>
          <w:color w:val="000000"/>
          <w:sz w:val="24"/>
          <w:szCs w:val="24"/>
          <w:lang w:val="en-GB"/>
        </w:rPr>
        <w:t>ing</w:t>
      </w:r>
      <w:r w:rsidRPr="0008440B">
        <w:rPr>
          <w:color w:val="000000"/>
          <w:sz w:val="24"/>
          <w:szCs w:val="24"/>
          <w:lang w:val="en-GB"/>
        </w:rPr>
        <w:t xml:space="preserve"> the need for approximation to a higher level. </w:t>
      </w:r>
      <w:r w:rsidR="005A1CC2" w:rsidRPr="00467A92">
        <w:rPr>
          <w:sz w:val="24"/>
          <w:szCs w:val="24"/>
          <w:lang w:val="en-GB"/>
        </w:rPr>
        <w:t>C</w:t>
      </w:r>
      <w:r w:rsidR="00C13F52" w:rsidRPr="00467A92">
        <w:rPr>
          <w:sz w:val="24"/>
          <w:szCs w:val="24"/>
          <w:lang w:val="en-GB"/>
        </w:rPr>
        <w:t>hap</w:t>
      </w:r>
      <w:r w:rsidR="00064CE9" w:rsidRPr="00467A92">
        <w:rPr>
          <w:sz w:val="24"/>
          <w:szCs w:val="24"/>
          <w:lang w:val="en-GB"/>
        </w:rPr>
        <w:t>t</w:t>
      </w:r>
      <w:r w:rsidR="00C13F52" w:rsidRPr="00467A92">
        <w:rPr>
          <w:sz w:val="24"/>
          <w:szCs w:val="24"/>
          <w:lang w:val="en-GB"/>
        </w:rPr>
        <w:t>er</w:t>
      </w:r>
      <w:r w:rsidR="005A1CC2" w:rsidRPr="00467A92">
        <w:rPr>
          <w:sz w:val="24"/>
          <w:szCs w:val="24"/>
          <w:lang w:val="en-GB"/>
        </w:rPr>
        <w:t xml:space="preserve"> 22</w:t>
      </w:r>
      <w:r w:rsidR="005A1CC2" w:rsidRPr="00467A92">
        <w:rPr>
          <w:sz w:val="24"/>
          <w:szCs w:val="24"/>
          <w:lang w:val="en-GB" w:eastAsia="de-DE"/>
        </w:rPr>
        <w:t xml:space="preserve"> stat</w:t>
      </w:r>
      <w:r w:rsidR="0062541D" w:rsidRPr="00467A92">
        <w:rPr>
          <w:sz w:val="24"/>
          <w:szCs w:val="24"/>
          <w:lang w:val="en-GB" w:eastAsia="de-DE"/>
        </w:rPr>
        <w:t>e</w:t>
      </w:r>
      <w:r w:rsidR="00C13F52" w:rsidRPr="00467A92">
        <w:rPr>
          <w:sz w:val="24"/>
          <w:szCs w:val="24"/>
          <w:lang w:val="en-GB" w:eastAsia="de-DE"/>
        </w:rPr>
        <w:t>s</w:t>
      </w:r>
      <w:r w:rsidR="005A1CC2" w:rsidRPr="00467A92">
        <w:rPr>
          <w:sz w:val="24"/>
          <w:szCs w:val="24"/>
          <w:lang w:val="en-GB" w:eastAsia="de-DE"/>
        </w:rPr>
        <w:t xml:space="preserve"> that t</w:t>
      </w:r>
      <w:r w:rsidR="005A1CC2" w:rsidRPr="00467A92">
        <w:rPr>
          <w:sz w:val="24"/>
          <w:szCs w:val="24"/>
          <w:lang w:val="en-GB"/>
        </w:rPr>
        <w:t xml:space="preserve">he Parties shall develop their cooperation in the public health field, to raise the level of public health safety and protection of human health as a precondition for sustainable development and economic growth. Such cooperation shall cover, in particular, the following areas: </w:t>
      </w:r>
    </w:p>
    <w:p w14:paraId="5F923B4D" w14:textId="18D17533" w:rsidR="005A1CC2" w:rsidRPr="0008440B" w:rsidRDefault="005A1CC2" w:rsidP="005A1CC2">
      <w:pPr>
        <w:pStyle w:val="Default"/>
        <w:spacing w:before="360" w:after="144"/>
        <w:jc w:val="both"/>
        <w:rPr>
          <w:rFonts w:ascii="Tahoma" w:hAnsi="Tahoma" w:cs="Tahoma"/>
        </w:rPr>
      </w:pPr>
      <w:r w:rsidRPr="0008440B">
        <w:rPr>
          <w:rFonts w:ascii="Tahoma" w:hAnsi="Tahoma" w:cs="Tahoma"/>
        </w:rPr>
        <w:t>(a) strength</w:t>
      </w:r>
      <w:r w:rsidR="00C13F52" w:rsidRPr="0008440B">
        <w:rPr>
          <w:rFonts w:ascii="Tahoma" w:hAnsi="Tahoma" w:cs="Tahoma"/>
        </w:rPr>
        <w:t>en</w:t>
      </w:r>
      <w:r w:rsidRPr="0008440B">
        <w:rPr>
          <w:rFonts w:ascii="Tahoma" w:hAnsi="Tahoma" w:cs="Tahoma"/>
        </w:rPr>
        <w:t xml:space="preserve"> the public health system and its capacity in Ukraine, in particular through implementation of reforms, further development of primary health care, and training of staff; </w:t>
      </w:r>
    </w:p>
    <w:p w14:paraId="1949A282" w14:textId="6B5775B5" w:rsidR="005A1CC2" w:rsidRPr="0008440B" w:rsidRDefault="005A1CC2" w:rsidP="005A1CC2">
      <w:pPr>
        <w:pStyle w:val="Default"/>
        <w:spacing w:before="360" w:after="144"/>
        <w:jc w:val="both"/>
        <w:rPr>
          <w:rFonts w:ascii="Tahoma" w:hAnsi="Tahoma" w:cs="Tahoma"/>
        </w:rPr>
      </w:pPr>
      <w:r w:rsidRPr="0008440B">
        <w:rPr>
          <w:rFonts w:ascii="Tahoma" w:hAnsi="Tahoma" w:cs="Tahoma"/>
        </w:rPr>
        <w:t>(b) prevention and control of communicable diseases, such as HIV/AIDS and tuberculosis, increased preparedness regarding highly pathogenic disease outbreaks, and implementation of the International Health Regulations</w:t>
      </w:r>
      <w:r w:rsidR="00064CE9" w:rsidRPr="0008440B">
        <w:rPr>
          <w:rFonts w:ascii="Tahoma" w:hAnsi="Tahoma" w:cs="Tahoma"/>
        </w:rPr>
        <w:t xml:space="preserve"> (IHR)</w:t>
      </w:r>
      <w:r w:rsidRPr="0008440B">
        <w:rPr>
          <w:rFonts w:ascii="Tahoma" w:hAnsi="Tahoma" w:cs="Tahoma"/>
        </w:rPr>
        <w:t xml:space="preserve">; </w:t>
      </w:r>
    </w:p>
    <w:p w14:paraId="54D9D33F" w14:textId="77777777" w:rsidR="005A1CC2" w:rsidRPr="0008440B" w:rsidRDefault="005A1CC2" w:rsidP="005A1CC2">
      <w:pPr>
        <w:pStyle w:val="Default"/>
        <w:spacing w:before="360" w:after="144"/>
        <w:jc w:val="both"/>
        <w:rPr>
          <w:rFonts w:ascii="Tahoma" w:hAnsi="Tahoma" w:cs="Tahoma"/>
        </w:rPr>
      </w:pPr>
      <w:r w:rsidRPr="0008440B">
        <w:rPr>
          <w:rFonts w:ascii="Tahoma" w:hAnsi="Tahoma" w:cs="Tahoma"/>
        </w:rPr>
        <w:t xml:space="preserve">(c) prevention and control of non-communicable diseases, through exchange of information and good practices, promoting healthy lifestyles, addressing major health determinants and problems, such as mother and child health, mental health, and addiction to alcohol, drugs and tobacco, including implementation of the Framework Convention on Tobacco Control of 2003; </w:t>
      </w:r>
    </w:p>
    <w:p w14:paraId="21471900" w14:textId="77777777" w:rsidR="005A1CC2" w:rsidRPr="0008440B" w:rsidRDefault="005A1CC2" w:rsidP="005A1CC2">
      <w:pPr>
        <w:pStyle w:val="Default"/>
        <w:spacing w:before="360" w:after="144"/>
        <w:jc w:val="both"/>
        <w:rPr>
          <w:rFonts w:ascii="Tahoma" w:hAnsi="Tahoma" w:cs="Tahoma"/>
        </w:rPr>
      </w:pPr>
      <w:r w:rsidRPr="0008440B">
        <w:rPr>
          <w:rFonts w:ascii="Tahoma" w:hAnsi="Tahoma" w:cs="Tahoma"/>
        </w:rPr>
        <w:t xml:space="preserve">(d) quality and safety of substances of human origin, such as blood, tissues and cells; </w:t>
      </w:r>
    </w:p>
    <w:p w14:paraId="16E07EA2" w14:textId="7814A2B0" w:rsidR="005A1CC2" w:rsidRPr="0008440B" w:rsidRDefault="005A1CC2" w:rsidP="005A1CC2">
      <w:pPr>
        <w:pStyle w:val="Default"/>
        <w:spacing w:before="360" w:after="144"/>
        <w:jc w:val="both"/>
        <w:rPr>
          <w:rFonts w:ascii="Tahoma" w:hAnsi="Tahoma" w:cs="Tahoma"/>
        </w:rPr>
      </w:pPr>
      <w:r w:rsidRPr="0008440B">
        <w:rPr>
          <w:rFonts w:ascii="Tahoma" w:hAnsi="Tahoma" w:cs="Tahoma"/>
        </w:rPr>
        <w:t xml:space="preserve">(e) health information and knowledge, including </w:t>
      </w:r>
      <w:r w:rsidR="00C13F52" w:rsidRPr="0008440B">
        <w:rPr>
          <w:rFonts w:ascii="Tahoma" w:hAnsi="Tahoma" w:cs="Tahoma"/>
        </w:rPr>
        <w:t>also</w:t>
      </w:r>
      <w:r w:rsidRPr="0008440B">
        <w:rPr>
          <w:rFonts w:ascii="Tahoma" w:hAnsi="Tahoma" w:cs="Tahoma"/>
        </w:rPr>
        <w:t xml:space="preserve"> 'health in all policies'. </w:t>
      </w:r>
    </w:p>
    <w:p w14:paraId="619B22B6" w14:textId="016634CF" w:rsidR="005A1CC2" w:rsidRPr="0008440B" w:rsidRDefault="005A1CC2" w:rsidP="005A1CC2">
      <w:pPr>
        <w:pStyle w:val="Default"/>
        <w:spacing w:before="360" w:after="144"/>
        <w:jc w:val="both"/>
        <w:rPr>
          <w:rFonts w:ascii="Tahoma" w:hAnsi="Tahoma" w:cs="Tahoma"/>
        </w:rPr>
      </w:pPr>
      <w:r w:rsidRPr="0008440B">
        <w:rPr>
          <w:rFonts w:ascii="Tahoma" w:hAnsi="Tahoma" w:cs="Tahoma"/>
        </w:rPr>
        <w:t xml:space="preserve">To that end, the Parties undertake joint activities </w:t>
      </w:r>
      <w:r w:rsidR="00064CE9" w:rsidRPr="0008440B">
        <w:rPr>
          <w:rFonts w:ascii="Tahoma" w:hAnsi="Tahoma" w:cs="Tahoma"/>
        </w:rPr>
        <w:t>for the</w:t>
      </w:r>
      <w:r w:rsidRPr="0008440B">
        <w:rPr>
          <w:rFonts w:ascii="Tahoma" w:hAnsi="Tahoma" w:cs="Tahoma"/>
        </w:rPr>
        <w:t xml:space="preserve"> gradual integration of Ukraine into the European networks in the public health field. Including gradually approximation of legislation and practice to the principles of the EU acquis. </w:t>
      </w:r>
    </w:p>
    <w:p w14:paraId="66FF3164" w14:textId="73AC99CF" w:rsidR="005A1CC2" w:rsidRPr="0008440B" w:rsidRDefault="00AD4E6F" w:rsidP="00304C7F">
      <w:pPr>
        <w:pStyle w:val="Default"/>
        <w:spacing w:before="360" w:after="144"/>
        <w:jc w:val="both"/>
        <w:rPr>
          <w:rFonts w:ascii="Tahoma" w:hAnsi="Tahoma" w:cs="Tahoma"/>
        </w:rPr>
      </w:pPr>
      <w:r w:rsidRPr="0008440B">
        <w:rPr>
          <w:rFonts w:ascii="Tahoma" w:eastAsia="Times New Roman" w:hAnsi="Tahoma" w:cs="Tahoma"/>
          <w:color w:val="auto"/>
          <w:lang w:eastAsia="de-DE"/>
        </w:rPr>
        <w:t xml:space="preserve">Mainstreeting of health issues are also required related to </w:t>
      </w:r>
      <w:r w:rsidR="008327E1" w:rsidRPr="0008440B">
        <w:rPr>
          <w:rFonts w:ascii="Tahoma" w:eastAsia="Times New Roman" w:hAnsi="Tahoma" w:cs="Tahoma"/>
          <w:color w:val="auto"/>
          <w:lang w:eastAsia="de-DE"/>
        </w:rPr>
        <w:t xml:space="preserve">most of the other </w:t>
      </w:r>
      <w:r w:rsidR="00C13F52" w:rsidRPr="0008440B">
        <w:rPr>
          <w:rFonts w:ascii="Tahoma" w:eastAsia="Times New Roman" w:hAnsi="Tahoma" w:cs="Tahoma"/>
          <w:color w:val="auto"/>
          <w:lang w:eastAsia="de-DE"/>
        </w:rPr>
        <w:t>chapters</w:t>
      </w:r>
      <w:r w:rsidR="008327E1" w:rsidRPr="0008440B">
        <w:rPr>
          <w:rFonts w:ascii="Tahoma" w:eastAsia="Times New Roman" w:hAnsi="Tahoma" w:cs="Tahoma"/>
          <w:color w:val="auto"/>
          <w:lang w:eastAsia="de-DE"/>
        </w:rPr>
        <w:t xml:space="preserve"> in the </w:t>
      </w:r>
      <w:r w:rsidR="00064CE9" w:rsidRPr="0008440B">
        <w:t>AA</w:t>
      </w:r>
      <w:r w:rsidR="008327E1" w:rsidRPr="0008440B">
        <w:rPr>
          <w:rFonts w:ascii="Tahoma" w:eastAsia="Times New Roman" w:hAnsi="Tahoma" w:cs="Tahoma"/>
          <w:color w:val="auto"/>
          <w:lang w:eastAsia="de-DE"/>
        </w:rPr>
        <w:t xml:space="preserve"> e.g., </w:t>
      </w:r>
      <w:r w:rsidRPr="0008440B">
        <w:rPr>
          <w:rFonts w:ascii="Tahoma" w:hAnsi="Tahoma" w:cs="Tahoma"/>
        </w:rPr>
        <w:t xml:space="preserve">chapter </w:t>
      </w:r>
      <w:r w:rsidR="005A1CC2" w:rsidRPr="0008440B">
        <w:rPr>
          <w:rFonts w:ascii="Tahoma" w:hAnsi="Tahoma" w:cs="Tahoma"/>
        </w:rPr>
        <w:t xml:space="preserve">4 </w:t>
      </w:r>
      <w:r w:rsidR="00C13F52" w:rsidRPr="0008440B">
        <w:rPr>
          <w:rFonts w:ascii="Tahoma" w:hAnsi="Tahoma" w:cs="Tahoma"/>
        </w:rPr>
        <w:t xml:space="preserve">is </w:t>
      </w:r>
      <w:r w:rsidRPr="0008440B">
        <w:rPr>
          <w:rFonts w:ascii="Tahoma" w:hAnsi="Tahoma" w:cs="Tahoma"/>
        </w:rPr>
        <w:t>related to s</w:t>
      </w:r>
      <w:r w:rsidR="005A1CC2" w:rsidRPr="0008440B">
        <w:rPr>
          <w:rFonts w:ascii="Tahoma" w:hAnsi="Tahoma" w:cs="Tahoma"/>
        </w:rPr>
        <w:t>anitary and phytosanitary measures</w:t>
      </w:r>
      <w:r w:rsidRPr="0008440B">
        <w:rPr>
          <w:rFonts w:ascii="Tahoma" w:hAnsi="Tahoma" w:cs="Tahoma"/>
        </w:rPr>
        <w:t>, chapter</w:t>
      </w:r>
      <w:r w:rsidR="005A1CC2" w:rsidRPr="0008440B">
        <w:rPr>
          <w:rFonts w:ascii="Tahoma" w:hAnsi="Tahoma" w:cs="Tahoma"/>
        </w:rPr>
        <w:t xml:space="preserve"> 6 </w:t>
      </w:r>
      <w:r w:rsidR="00C13F52" w:rsidRPr="0008440B">
        <w:rPr>
          <w:rFonts w:ascii="Tahoma" w:hAnsi="Tahoma" w:cs="Tahoma"/>
        </w:rPr>
        <w:t xml:space="preserve">deals with </w:t>
      </w:r>
      <w:r w:rsidRPr="0008440B">
        <w:rPr>
          <w:rFonts w:ascii="Tahoma" w:hAnsi="Tahoma" w:cs="Tahoma"/>
        </w:rPr>
        <w:t>environment</w:t>
      </w:r>
      <w:r w:rsidR="00C13F52" w:rsidRPr="0008440B">
        <w:rPr>
          <w:rFonts w:ascii="Tahoma" w:hAnsi="Tahoma" w:cs="Tahoma"/>
        </w:rPr>
        <w:t xml:space="preserve"> also as a health determinant</w:t>
      </w:r>
      <w:r w:rsidRPr="0008440B">
        <w:rPr>
          <w:rFonts w:ascii="Tahoma" w:hAnsi="Tahoma" w:cs="Tahoma"/>
        </w:rPr>
        <w:t>, chapter</w:t>
      </w:r>
      <w:r w:rsidR="005A1CC2" w:rsidRPr="0008440B">
        <w:rPr>
          <w:rFonts w:ascii="Tahoma" w:hAnsi="Tahoma" w:cs="Tahoma"/>
        </w:rPr>
        <w:t xml:space="preserve"> 14 </w:t>
      </w:r>
      <w:r w:rsidR="00C13F52" w:rsidRPr="0008440B">
        <w:rPr>
          <w:rFonts w:ascii="Tahoma" w:hAnsi="Tahoma" w:cs="Tahoma"/>
        </w:rPr>
        <w:t xml:space="preserve">is </w:t>
      </w:r>
      <w:r w:rsidRPr="0008440B">
        <w:rPr>
          <w:rFonts w:ascii="Tahoma" w:hAnsi="Tahoma" w:cs="Tahoma"/>
        </w:rPr>
        <w:t>related to i</w:t>
      </w:r>
      <w:r w:rsidR="005A1CC2" w:rsidRPr="0008440B">
        <w:rPr>
          <w:rFonts w:ascii="Tahoma" w:hAnsi="Tahoma" w:cs="Tahoma"/>
        </w:rPr>
        <w:t xml:space="preserve">nformation society </w:t>
      </w:r>
      <w:r w:rsidRPr="0008440B">
        <w:rPr>
          <w:rFonts w:ascii="Tahoma" w:hAnsi="Tahoma" w:cs="Tahoma"/>
        </w:rPr>
        <w:t xml:space="preserve">including </w:t>
      </w:r>
      <w:r w:rsidR="005A1CC2" w:rsidRPr="0008440B">
        <w:rPr>
          <w:rFonts w:ascii="Tahoma" w:hAnsi="Tahoma" w:cs="Tahoma"/>
        </w:rPr>
        <w:t>e-government, e-health and e-learning</w:t>
      </w:r>
      <w:r w:rsidR="00B70905" w:rsidRPr="0008440B">
        <w:rPr>
          <w:rFonts w:ascii="Tahoma" w:hAnsi="Tahoma" w:cs="Tahoma"/>
        </w:rPr>
        <w:t xml:space="preserve">, chapter 20 </w:t>
      </w:r>
      <w:r w:rsidR="00F11254" w:rsidRPr="0008440B">
        <w:rPr>
          <w:rFonts w:ascii="Tahoma" w:hAnsi="Tahoma" w:cs="Tahoma"/>
        </w:rPr>
        <w:t xml:space="preserve">deals with </w:t>
      </w:r>
      <w:r w:rsidR="00B70905" w:rsidRPr="0008440B">
        <w:rPr>
          <w:rFonts w:ascii="Tahoma" w:hAnsi="Tahoma" w:cs="Tahoma"/>
        </w:rPr>
        <w:t>c</w:t>
      </w:r>
      <w:r w:rsidR="00B70905" w:rsidRPr="0008440B">
        <w:t>onsumer protection</w:t>
      </w:r>
      <w:r w:rsidR="00F11254" w:rsidRPr="0008440B">
        <w:t xml:space="preserve"> including quality of medical devices and invitro-medical devices</w:t>
      </w:r>
      <w:r w:rsidR="00B70905" w:rsidRPr="0008440B">
        <w:t>,</w:t>
      </w:r>
      <w:r w:rsidR="00B70905" w:rsidRPr="0008440B">
        <w:rPr>
          <w:rFonts w:ascii="Tahoma" w:hAnsi="Tahoma" w:cs="Tahoma"/>
        </w:rPr>
        <w:t xml:space="preserve"> chapter 23 </w:t>
      </w:r>
      <w:r w:rsidR="00F11254" w:rsidRPr="0008440B">
        <w:rPr>
          <w:rFonts w:ascii="Tahoma" w:hAnsi="Tahoma" w:cs="Tahoma"/>
        </w:rPr>
        <w:t xml:space="preserve">is focused on </w:t>
      </w:r>
      <w:r w:rsidR="00B70905" w:rsidRPr="0008440B">
        <w:t>education, training and youth</w:t>
      </w:r>
      <w:r w:rsidR="00F11254" w:rsidRPr="0008440B">
        <w:t xml:space="preserve"> also encompassing medical education and training</w:t>
      </w:r>
      <w:r w:rsidR="00B70905" w:rsidRPr="0008440B">
        <w:t>,</w:t>
      </w:r>
      <w:r w:rsidR="00B70905" w:rsidRPr="0008440B">
        <w:rPr>
          <w:rFonts w:ascii="Tahoma" w:hAnsi="Tahoma" w:cs="Tahoma"/>
        </w:rPr>
        <w:t xml:space="preserve"> chapter</w:t>
      </w:r>
      <w:r w:rsidR="00B70905" w:rsidRPr="0008440B">
        <w:t xml:space="preserve"> 25 </w:t>
      </w:r>
      <w:r w:rsidR="00F11254" w:rsidRPr="0008440B">
        <w:t>details the</w:t>
      </w:r>
      <w:r w:rsidR="00B70905" w:rsidRPr="0008440B">
        <w:t xml:space="preserve"> cooperation in the field of sport and physical activity</w:t>
      </w:r>
      <w:r w:rsidR="00F11254" w:rsidRPr="0008440B">
        <w:t xml:space="preserve"> including disease prevention</w:t>
      </w:r>
      <w:r w:rsidR="00B70905" w:rsidRPr="0008440B">
        <w:t xml:space="preserve">, </w:t>
      </w:r>
      <w:r w:rsidR="00B70905" w:rsidRPr="0008440B">
        <w:rPr>
          <w:rFonts w:ascii="Tahoma" w:hAnsi="Tahoma" w:cs="Tahoma"/>
        </w:rPr>
        <w:t>chapter</w:t>
      </w:r>
      <w:r w:rsidR="00B70905" w:rsidRPr="0008440B">
        <w:t xml:space="preserve"> 27 on cross-border and regional cooperation</w:t>
      </w:r>
      <w:r w:rsidRPr="0008440B">
        <w:rPr>
          <w:rFonts w:ascii="Tahoma" w:hAnsi="Tahoma" w:cs="Tahoma"/>
        </w:rPr>
        <w:t xml:space="preserve"> </w:t>
      </w:r>
      <w:r w:rsidR="00F11254" w:rsidRPr="0008440B">
        <w:rPr>
          <w:rFonts w:ascii="Tahoma" w:hAnsi="Tahoma" w:cs="Tahoma"/>
        </w:rPr>
        <w:t xml:space="preserve">also related to access to health care, </w:t>
      </w:r>
      <w:r w:rsidRPr="0008440B">
        <w:rPr>
          <w:rFonts w:ascii="Tahoma" w:hAnsi="Tahoma" w:cs="Tahoma"/>
        </w:rPr>
        <w:t>and chapter 28 on consumer and health protection.</w:t>
      </w:r>
    </w:p>
    <w:p w14:paraId="257FFC67" w14:textId="5AD7899A" w:rsidR="00007125" w:rsidRPr="0008440B" w:rsidRDefault="00007125" w:rsidP="00304C7F">
      <w:pPr>
        <w:pStyle w:val="Default"/>
        <w:spacing w:before="360" w:after="144"/>
        <w:jc w:val="both"/>
        <w:rPr>
          <w:rFonts w:ascii="Tahoma" w:hAnsi="Tahoma" w:cs="Tahoma"/>
        </w:rPr>
      </w:pPr>
      <w:r w:rsidRPr="0008440B">
        <w:rPr>
          <w:rFonts w:ascii="Tahoma" w:hAnsi="Tahoma" w:cs="Tahoma"/>
        </w:rPr>
        <w:t xml:space="preserve">The EU Report </w:t>
      </w:r>
      <w:r w:rsidR="00665EA8" w:rsidRPr="0008440B">
        <w:rPr>
          <w:rFonts w:ascii="Tahoma" w:hAnsi="Tahoma" w:cs="Tahoma"/>
        </w:rPr>
        <w:t xml:space="preserve">"Ukraine 2023" </w:t>
      </w:r>
      <w:r w:rsidRPr="0008440B">
        <w:rPr>
          <w:rFonts w:ascii="Tahoma" w:hAnsi="Tahoma" w:cs="Tahoma"/>
        </w:rPr>
        <w:t xml:space="preserve">from </w:t>
      </w:r>
      <w:r w:rsidR="00665EA8" w:rsidRPr="0008440B">
        <w:rPr>
          <w:rFonts w:ascii="Tahoma" w:hAnsi="Tahoma" w:cs="Tahoma"/>
        </w:rPr>
        <w:t>8</w:t>
      </w:r>
      <w:r w:rsidR="00665EA8" w:rsidRPr="0008440B">
        <w:rPr>
          <w:rFonts w:ascii="Tahoma" w:hAnsi="Tahoma" w:cs="Tahoma"/>
          <w:vertAlign w:val="superscript"/>
        </w:rPr>
        <w:t>th</w:t>
      </w:r>
      <w:r w:rsidR="00665EA8" w:rsidRPr="0008440B">
        <w:rPr>
          <w:rFonts w:ascii="Tahoma" w:hAnsi="Tahoma" w:cs="Tahoma"/>
        </w:rPr>
        <w:t xml:space="preserve"> of November 2023</w:t>
      </w:r>
      <w:r w:rsidR="002E6337" w:rsidRPr="00467A92">
        <w:rPr>
          <w:rStyle w:val="af2"/>
          <w:rFonts w:ascii="Tahoma" w:hAnsi="Tahoma" w:cs="Tahoma"/>
        </w:rPr>
        <w:footnoteReference w:id="3"/>
      </w:r>
      <w:r w:rsidR="00665EA8" w:rsidRPr="0008440B">
        <w:rPr>
          <w:rFonts w:ascii="Tahoma" w:hAnsi="Tahoma" w:cs="Tahoma"/>
        </w:rPr>
        <w:t xml:space="preserve"> contains conclusions on public health, such as</w:t>
      </w:r>
      <w:r w:rsidR="001E455C" w:rsidRPr="0008440B">
        <w:rPr>
          <w:rFonts w:ascii="Tahoma" w:hAnsi="Tahoma" w:cs="Tahoma"/>
        </w:rPr>
        <w:t>:</w:t>
      </w:r>
      <w:r w:rsidRPr="0008440B">
        <w:rPr>
          <w:rFonts w:ascii="Tahoma" w:hAnsi="Tahoma" w:cs="Tahoma"/>
        </w:rPr>
        <w:t xml:space="preserve"> </w:t>
      </w:r>
    </w:p>
    <w:p w14:paraId="13E4CA04" w14:textId="3F75E11B" w:rsidR="00B44E95" w:rsidRPr="00467A92" w:rsidRDefault="001B5725" w:rsidP="001E455C">
      <w:pPr>
        <w:pStyle w:val="Default"/>
        <w:numPr>
          <w:ilvl w:val="0"/>
          <w:numId w:val="19"/>
        </w:numPr>
        <w:spacing w:before="360" w:after="144"/>
        <w:jc w:val="both"/>
        <w:rPr>
          <w:rFonts w:ascii="Tahoma" w:hAnsi="Tahoma" w:cs="Tahoma"/>
        </w:rPr>
      </w:pPr>
      <w:r w:rsidRPr="00467A92">
        <w:rPr>
          <w:rFonts w:ascii="Tahoma" w:hAnsi="Tahoma" w:cs="Tahoma"/>
        </w:rPr>
        <w:lastRenderedPageBreak/>
        <w:t>There has been some progress in the adoption of the Law of Ukraine "On the Public Health System" and its implementing legislation, but the legislation remains partially aligned with the EU acquis, for example, in relation to communicable and non-communicable diseases and cross-border health threats</w:t>
      </w:r>
      <w:r w:rsidR="00F11254" w:rsidRPr="00467A92">
        <w:rPr>
          <w:rFonts w:ascii="Tahoma" w:hAnsi="Tahoma" w:cs="Tahoma"/>
        </w:rPr>
        <w:t>;</w:t>
      </w:r>
      <w:r w:rsidR="00007125" w:rsidRPr="00467A92">
        <w:rPr>
          <w:rFonts w:ascii="Tahoma" w:hAnsi="Tahoma" w:cs="Tahoma"/>
        </w:rPr>
        <w:t xml:space="preserve"> </w:t>
      </w:r>
    </w:p>
    <w:p w14:paraId="2E29BC9F" w14:textId="364ACDF9" w:rsidR="00815790" w:rsidRPr="00467A92" w:rsidRDefault="001B5725" w:rsidP="001E455C">
      <w:pPr>
        <w:pStyle w:val="Default"/>
        <w:numPr>
          <w:ilvl w:val="0"/>
          <w:numId w:val="19"/>
        </w:numPr>
        <w:spacing w:before="360" w:after="144"/>
        <w:jc w:val="both"/>
        <w:rPr>
          <w:rFonts w:ascii="Tahoma" w:hAnsi="Tahoma" w:cs="Tahoma"/>
        </w:rPr>
      </w:pPr>
      <w:r w:rsidRPr="00467A92">
        <w:rPr>
          <w:rFonts w:ascii="Tahoma" w:hAnsi="Tahoma" w:cs="Tahoma"/>
        </w:rPr>
        <w:t>In Ukraine, refugees have the right to the same healthcare services as Ukrainian citizens, but illegal migrants and asylum seekers are only covered by emergency care and have to pay the full cost after treatment. Some professional categories have additional rights funded by the Government, which splits public funds allocated to healthcare as a result of unequal access to healthcare. The main challenges people face when looking for healthcare are the cost of medicines and treatment, waiting times and transport</w:t>
      </w:r>
      <w:r w:rsidR="001E455C" w:rsidRPr="00467A92">
        <w:rPr>
          <w:rFonts w:ascii="Tahoma" w:hAnsi="Tahoma" w:cs="Tahoma"/>
        </w:rPr>
        <w:t>;</w:t>
      </w:r>
    </w:p>
    <w:p w14:paraId="7A2B270F" w14:textId="790C27D4" w:rsidR="00007125" w:rsidRPr="00467A92" w:rsidRDefault="002E6337" w:rsidP="001E455C">
      <w:pPr>
        <w:pStyle w:val="Default"/>
        <w:numPr>
          <w:ilvl w:val="0"/>
          <w:numId w:val="19"/>
        </w:numPr>
        <w:spacing w:before="360" w:after="144"/>
        <w:jc w:val="both"/>
        <w:rPr>
          <w:rFonts w:ascii="Tahoma" w:hAnsi="Tahoma" w:cs="Tahoma"/>
        </w:rPr>
      </w:pPr>
      <w:r w:rsidRPr="00467A92">
        <w:rPr>
          <w:rFonts w:ascii="Tahoma" w:hAnsi="Tahoma" w:cs="Tahoma"/>
        </w:rPr>
        <w:t>Despite launching an electronic healthcare system, including e-prescriptions, there is fragmentation and overlapping of data. There is no strategy for the healthcare information system in Ukraine, and the legislative framework needs to be finalised. The absence or limited quality of disaggregated health-related data is a key systemic problem that affects planning and policy development, as well as the implementation of health programmes</w:t>
      </w:r>
      <w:r w:rsidR="001E455C" w:rsidRPr="00467A92">
        <w:rPr>
          <w:rFonts w:ascii="Tahoma" w:hAnsi="Tahoma" w:cs="Tahoma"/>
        </w:rPr>
        <w:t>;</w:t>
      </w:r>
    </w:p>
    <w:p w14:paraId="57C0A41F" w14:textId="743A7BC3" w:rsidR="00D064A7" w:rsidRPr="00467A92" w:rsidRDefault="002E6337" w:rsidP="00D064A7">
      <w:pPr>
        <w:pStyle w:val="Default"/>
        <w:numPr>
          <w:ilvl w:val="0"/>
          <w:numId w:val="20"/>
        </w:numPr>
        <w:spacing w:before="360" w:after="144"/>
        <w:jc w:val="both"/>
        <w:rPr>
          <w:rFonts w:ascii="Tahoma" w:hAnsi="Tahoma" w:cs="Tahoma"/>
        </w:rPr>
      </w:pPr>
      <w:r w:rsidRPr="00467A92">
        <w:rPr>
          <w:rFonts w:ascii="Tahoma" w:hAnsi="Tahoma" w:cs="Tahoma"/>
        </w:rPr>
        <w:t>Ukrainian legislation is partially approximated to the EU tobacco control acquis. Ukraine has ratified the WHO Framework Convention on Tobacco Control and has made significant progress in its implementation. However, it has not yet ratified the Protocol to Eliminate Illicit Trade in Tobacco Products</w:t>
      </w:r>
      <w:r w:rsidR="00F11254" w:rsidRPr="00467A92">
        <w:rPr>
          <w:rFonts w:ascii="Tahoma" w:hAnsi="Tahoma" w:cs="Tahoma"/>
        </w:rPr>
        <w:t>;</w:t>
      </w:r>
      <w:r w:rsidR="00007125" w:rsidRPr="00467A92">
        <w:rPr>
          <w:rFonts w:ascii="Tahoma" w:hAnsi="Tahoma" w:cs="Tahoma"/>
        </w:rPr>
        <w:t xml:space="preserve"> </w:t>
      </w:r>
    </w:p>
    <w:p w14:paraId="6458EF8F" w14:textId="42F4C993" w:rsidR="00B44E95" w:rsidRPr="00467A92" w:rsidRDefault="00A945A4" w:rsidP="00D064A7">
      <w:pPr>
        <w:pStyle w:val="Default"/>
        <w:numPr>
          <w:ilvl w:val="0"/>
          <w:numId w:val="20"/>
        </w:numPr>
        <w:spacing w:before="360" w:after="144"/>
        <w:jc w:val="both"/>
        <w:rPr>
          <w:rFonts w:ascii="Tahoma" w:hAnsi="Tahoma" w:cs="Tahoma"/>
        </w:rPr>
      </w:pPr>
      <w:r w:rsidRPr="00467A92">
        <w:rPr>
          <w:rFonts w:ascii="Tahoma" w:hAnsi="Tahoma" w:cs="Tahoma"/>
        </w:rPr>
        <w:t>Ukrainian legislation on communicable diseases and serious cross-border health threats is partially aligned with the EU acquis. It is necessary to develop implementing legislation to ensure effective prevention, preparedness (e.g., there is no universal epidemic preparedness plan) and emergency response plan</w:t>
      </w:r>
      <w:r w:rsidR="00F11254" w:rsidRPr="00467A92">
        <w:rPr>
          <w:rFonts w:ascii="Tahoma" w:hAnsi="Tahoma" w:cs="Tahoma"/>
        </w:rPr>
        <w:t>;</w:t>
      </w:r>
      <w:r w:rsidR="00007125" w:rsidRPr="00467A92">
        <w:rPr>
          <w:rFonts w:ascii="Tahoma" w:hAnsi="Tahoma" w:cs="Tahoma"/>
        </w:rPr>
        <w:t xml:space="preserve"> </w:t>
      </w:r>
    </w:p>
    <w:p w14:paraId="2C1FE24B" w14:textId="08F5F30D" w:rsidR="00643863" w:rsidRPr="00467A92" w:rsidRDefault="00D715FE" w:rsidP="00D064A7">
      <w:pPr>
        <w:pStyle w:val="Default"/>
        <w:numPr>
          <w:ilvl w:val="0"/>
          <w:numId w:val="20"/>
        </w:numPr>
        <w:spacing w:before="360" w:after="144"/>
        <w:jc w:val="both"/>
        <w:rPr>
          <w:rFonts w:ascii="Tahoma" w:hAnsi="Tahoma" w:cs="Tahoma"/>
        </w:rPr>
      </w:pPr>
      <w:r w:rsidRPr="00467A92">
        <w:rPr>
          <w:rFonts w:ascii="Tahoma" w:hAnsi="Tahoma" w:cs="Tahoma"/>
        </w:rPr>
        <w:t>Ukrainian epidemiological surveillance systems are based on key EU principles, but need to be improved to ensure integration with the EU early warning and response system. The National Health Security Action Plan which will help eliminate threats of biological, chemical, environmental and unknown origin has not been adopted yet. The vaccination coverage rate remains far behind WHO global recommendations, also because of the war-related disruptions</w:t>
      </w:r>
      <w:r w:rsidR="00F11254" w:rsidRPr="00467A92">
        <w:rPr>
          <w:rFonts w:ascii="Tahoma" w:hAnsi="Tahoma" w:cs="Tahoma"/>
        </w:rPr>
        <w:t>;</w:t>
      </w:r>
      <w:r w:rsidR="00007125" w:rsidRPr="00467A92">
        <w:rPr>
          <w:rFonts w:ascii="Tahoma" w:hAnsi="Tahoma" w:cs="Tahoma"/>
        </w:rPr>
        <w:t xml:space="preserve"> </w:t>
      </w:r>
    </w:p>
    <w:p w14:paraId="64872C29" w14:textId="2549365E" w:rsidR="00B44E95" w:rsidRPr="00467A92" w:rsidRDefault="00A51555" w:rsidP="00D064A7">
      <w:pPr>
        <w:pStyle w:val="Default"/>
        <w:numPr>
          <w:ilvl w:val="0"/>
          <w:numId w:val="20"/>
        </w:numPr>
        <w:spacing w:before="360" w:after="144"/>
        <w:jc w:val="both"/>
        <w:rPr>
          <w:rFonts w:ascii="Tahoma" w:hAnsi="Tahoma" w:cs="Tahoma"/>
        </w:rPr>
      </w:pPr>
      <w:r w:rsidRPr="00467A92">
        <w:rPr>
          <w:rFonts w:ascii="Tahoma" w:hAnsi="Tahoma" w:cs="Tahoma"/>
        </w:rPr>
        <w:t>The National Antimicrobial Resistance Action Plan for 2023-2025 is awaiting approval. Necessity to strengthen and ensure interoperability between the health and veterinary and food/security sectors on antimicrobial resistance and improve overall preparedness and emergency response planning</w:t>
      </w:r>
      <w:r w:rsidR="00F11254" w:rsidRPr="00467A92">
        <w:rPr>
          <w:rFonts w:ascii="Tahoma" w:hAnsi="Tahoma" w:cs="Tahoma"/>
        </w:rPr>
        <w:t>;</w:t>
      </w:r>
      <w:r w:rsidR="00007125" w:rsidRPr="00467A92">
        <w:rPr>
          <w:rFonts w:ascii="Tahoma" w:hAnsi="Tahoma" w:cs="Tahoma"/>
        </w:rPr>
        <w:t xml:space="preserve"> </w:t>
      </w:r>
    </w:p>
    <w:p w14:paraId="5A53B253" w14:textId="65D02E66" w:rsidR="00643863" w:rsidRPr="00467A92" w:rsidRDefault="00A51555" w:rsidP="00D064A7">
      <w:pPr>
        <w:pStyle w:val="Default"/>
        <w:numPr>
          <w:ilvl w:val="0"/>
          <w:numId w:val="20"/>
        </w:numPr>
        <w:spacing w:before="360" w:after="144"/>
        <w:jc w:val="both"/>
        <w:rPr>
          <w:rFonts w:ascii="Tahoma" w:hAnsi="Tahoma" w:cs="Tahoma"/>
        </w:rPr>
      </w:pPr>
      <w:r w:rsidRPr="00467A92">
        <w:rPr>
          <w:rFonts w:ascii="Tahoma" w:hAnsi="Tahoma" w:cs="Tahoma"/>
        </w:rPr>
        <w:lastRenderedPageBreak/>
        <w:t>Monitoring rules for non-communicable diseases do not comply with global targets, and there is no special cancer screening programme for early detection of cancer, except for six free cancer examinations under the national health guarantee programme. There is no monitoring for early detection of cervical and mammary cancer</w:t>
      </w:r>
      <w:r w:rsidR="00F11254" w:rsidRPr="00467A92">
        <w:rPr>
          <w:rFonts w:ascii="Tahoma" w:hAnsi="Tahoma" w:cs="Tahoma"/>
        </w:rPr>
        <w:t>;</w:t>
      </w:r>
      <w:r w:rsidR="00007125" w:rsidRPr="00467A92">
        <w:rPr>
          <w:rFonts w:ascii="Tahoma" w:hAnsi="Tahoma" w:cs="Tahoma"/>
        </w:rPr>
        <w:t xml:space="preserve"> </w:t>
      </w:r>
    </w:p>
    <w:p w14:paraId="580FA10E" w14:textId="3AA63234" w:rsidR="00643863" w:rsidRPr="00467A92" w:rsidRDefault="00A51555" w:rsidP="009F14BE">
      <w:pPr>
        <w:pStyle w:val="Default"/>
        <w:numPr>
          <w:ilvl w:val="0"/>
          <w:numId w:val="20"/>
        </w:numPr>
        <w:spacing w:before="360" w:after="144"/>
        <w:jc w:val="both"/>
        <w:rPr>
          <w:rFonts w:ascii="Tahoma" w:hAnsi="Tahoma" w:cs="Tahoma"/>
        </w:rPr>
      </w:pPr>
      <w:r w:rsidRPr="00467A92">
        <w:rPr>
          <w:rFonts w:ascii="Tahoma" w:hAnsi="Tahoma" w:cs="Tahoma"/>
        </w:rPr>
        <w:t>The national legislation of Ukraine on blood, tissues, cells and organs is partially aligned with the EU acquis. The donor blood tracking and reporting system has not been fully developed yet. Ukrainian legislation is not aligned with the EU acquis on cells for in vitro reproduction. There are no regulations on inspections of medical assisted reproduction centres</w:t>
      </w:r>
      <w:r w:rsidR="00F11254" w:rsidRPr="00467A92">
        <w:rPr>
          <w:rFonts w:ascii="Tahoma" w:hAnsi="Tahoma" w:cs="Tahoma"/>
        </w:rPr>
        <w:t>;</w:t>
      </w:r>
      <w:r w:rsidR="00007125" w:rsidRPr="00467A92">
        <w:rPr>
          <w:rFonts w:ascii="Tahoma" w:hAnsi="Tahoma" w:cs="Tahoma"/>
        </w:rPr>
        <w:t xml:space="preserve"> </w:t>
      </w:r>
    </w:p>
    <w:p w14:paraId="678A3858" w14:textId="3C0378FB" w:rsidR="00643863" w:rsidRPr="00467A92" w:rsidRDefault="003E1DA8" w:rsidP="00D064A7">
      <w:pPr>
        <w:pStyle w:val="Default"/>
        <w:numPr>
          <w:ilvl w:val="0"/>
          <w:numId w:val="20"/>
        </w:numPr>
        <w:spacing w:before="360" w:after="144"/>
        <w:jc w:val="both"/>
        <w:rPr>
          <w:rFonts w:ascii="Tahoma" w:hAnsi="Tahoma" w:cs="Tahoma"/>
        </w:rPr>
      </w:pPr>
      <w:r w:rsidRPr="00467A92">
        <w:rPr>
          <w:rFonts w:ascii="Tahoma" w:hAnsi="Tahoma" w:cs="Tahoma"/>
        </w:rPr>
        <w:t>The Law on Medicinal Products, which will come into force after 30 months of martial law, introduced important changes to the previous legislation on human medicinal products. When it comes into force, it will be partially aligned with the EU acquis. There is still a lack of full compliance with international quality, safety and effectiveness standards for medicinal products in Ukraine. The Law is not aligned with the EU acquis on medicinal products for veterinary use and is partially aligned with the EU acquis on medical devices and medical devices for in vitro diagnostics</w:t>
      </w:r>
      <w:r w:rsidR="00F11254" w:rsidRPr="00467A92">
        <w:rPr>
          <w:rFonts w:ascii="Tahoma" w:hAnsi="Tahoma" w:cs="Tahoma"/>
        </w:rPr>
        <w:t>;</w:t>
      </w:r>
      <w:r w:rsidR="00007125" w:rsidRPr="00467A92">
        <w:rPr>
          <w:rFonts w:ascii="Tahoma" w:hAnsi="Tahoma" w:cs="Tahoma"/>
        </w:rPr>
        <w:t xml:space="preserve"> </w:t>
      </w:r>
    </w:p>
    <w:p w14:paraId="732DAD54" w14:textId="65A9885C" w:rsidR="00643863" w:rsidRPr="00467A92" w:rsidRDefault="003E1DA8" w:rsidP="00D064A7">
      <w:pPr>
        <w:pStyle w:val="Default"/>
        <w:numPr>
          <w:ilvl w:val="0"/>
          <w:numId w:val="20"/>
        </w:numPr>
        <w:spacing w:before="360" w:after="144"/>
        <w:jc w:val="both"/>
        <w:rPr>
          <w:rFonts w:ascii="Tahoma" w:hAnsi="Tahoma" w:cs="Tahoma"/>
        </w:rPr>
      </w:pPr>
      <w:r w:rsidRPr="00467A92">
        <w:rPr>
          <w:rFonts w:ascii="Tahoma" w:hAnsi="Tahoma" w:cs="Tahoma"/>
        </w:rPr>
        <w:t>In terms of nutrition and physical activity, healthy lifestyles and disease prevention could play a more prominent role, while monitoring could be strengthened</w:t>
      </w:r>
      <w:r w:rsidR="00F11254" w:rsidRPr="00467A92">
        <w:rPr>
          <w:rFonts w:ascii="Tahoma" w:hAnsi="Tahoma" w:cs="Tahoma"/>
        </w:rPr>
        <w:t>;</w:t>
      </w:r>
      <w:r w:rsidR="00007125" w:rsidRPr="00467A92">
        <w:rPr>
          <w:rFonts w:ascii="Tahoma" w:hAnsi="Tahoma" w:cs="Tahoma"/>
        </w:rPr>
        <w:t xml:space="preserve"> </w:t>
      </w:r>
    </w:p>
    <w:p w14:paraId="7A2B3924" w14:textId="3F69DC0E" w:rsidR="00643863" w:rsidRPr="00467A92" w:rsidRDefault="003E1DA8" w:rsidP="00D064A7">
      <w:pPr>
        <w:pStyle w:val="Default"/>
        <w:numPr>
          <w:ilvl w:val="0"/>
          <w:numId w:val="20"/>
        </w:numPr>
        <w:spacing w:before="360" w:after="144"/>
        <w:jc w:val="both"/>
        <w:rPr>
          <w:rFonts w:ascii="Tahoma" w:hAnsi="Tahoma" w:cs="Tahoma"/>
        </w:rPr>
      </w:pPr>
      <w:r w:rsidRPr="00467A92">
        <w:rPr>
          <w:rFonts w:ascii="Tahoma" w:hAnsi="Tahoma" w:cs="Tahoma"/>
        </w:rPr>
        <w:t>The corruption in the provision of healthcare services and medical education, as well as patient self-payment in the public healthcare system, remain a cause for concern. Mechanisms for monitoring the provision of healthcare services and managing patient compliance need to be strengthened. The complaint monitoring mechanism could be an effective tool for preventing and investigating corruption, but is not widely known. After the e-stock system starts working, it will be an additional useful tool to increase transparency of the supply of medicines across the country</w:t>
      </w:r>
      <w:r w:rsidR="00F11254" w:rsidRPr="00467A92">
        <w:rPr>
          <w:rFonts w:ascii="Tahoma" w:hAnsi="Tahoma" w:cs="Tahoma"/>
        </w:rPr>
        <w:t>;</w:t>
      </w:r>
    </w:p>
    <w:p w14:paraId="4307B946" w14:textId="4819B0B4" w:rsidR="00D26CCE" w:rsidRPr="0008440B" w:rsidRDefault="00D26CCE" w:rsidP="00F11254">
      <w:pPr>
        <w:pStyle w:val="Default"/>
        <w:jc w:val="both"/>
        <w:rPr>
          <w:rFonts w:ascii="Tahoma" w:hAnsi="Tahoma" w:cs="Tahoma"/>
          <w:color w:val="auto"/>
        </w:rPr>
      </w:pPr>
      <w:r w:rsidRPr="0008440B">
        <w:rPr>
          <w:rFonts w:ascii="Tahoma" w:hAnsi="Tahoma" w:cs="Tahoma"/>
        </w:rPr>
        <w:t xml:space="preserve">Further to the support provided by the EU related to aligned with the EU acquis, EU </w:t>
      </w:r>
      <w:r w:rsidR="002F5890" w:rsidRPr="0008440B">
        <w:rPr>
          <w:rFonts w:ascii="Tahoma" w:hAnsi="Tahoma" w:cs="Tahoma"/>
        </w:rPr>
        <w:t>is</w:t>
      </w:r>
      <w:r w:rsidR="00D8199C" w:rsidRPr="0008440B">
        <w:rPr>
          <w:rFonts w:ascii="Tahoma" w:hAnsi="Tahoma" w:cs="Tahoma"/>
        </w:rPr>
        <w:t xml:space="preserve"> </w:t>
      </w:r>
      <w:r w:rsidR="00666074" w:rsidRPr="0008440B">
        <w:rPr>
          <w:rFonts w:ascii="Tahoma" w:hAnsi="Tahoma" w:cs="Tahoma"/>
          <w:color w:val="auto"/>
        </w:rPr>
        <w:t>offer</w:t>
      </w:r>
      <w:r w:rsidR="00D8199C" w:rsidRPr="0008440B">
        <w:rPr>
          <w:rFonts w:ascii="Tahoma" w:hAnsi="Tahoma" w:cs="Tahoma"/>
          <w:color w:val="auto"/>
        </w:rPr>
        <w:t xml:space="preserve">ing </w:t>
      </w:r>
      <w:r w:rsidR="00666074" w:rsidRPr="0008440B">
        <w:rPr>
          <w:rFonts w:ascii="Tahoma" w:hAnsi="Tahoma" w:cs="Tahoma"/>
          <w:color w:val="auto"/>
        </w:rPr>
        <w:t xml:space="preserve">temporary protection to people fleeing the war. </w:t>
      </w:r>
      <w:r w:rsidR="002F5890" w:rsidRPr="0008440B">
        <w:rPr>
          <w:rFonts w:ascii="Tahoma" w:hAnsi="Tahoma" w:cs="Tahoma"/>
          <w:color w:val="auto"/>
        </w:rPr>
        <w:t>In addition, s</w:t>
      </w:r>
      <w:r w:rsidR="00666074" w:rsidRPr="0008440B">
        <w:rPr>
          <w:rFonts w:ascii="Tahoma" w:hAnsi="Tahoma" w:cs="Tahoma"/>
          <w:color w:val="auto"/>
        </w:rPr>
        <w:t xml:space="preserve">ince the start of Russia’s war, the EU, Member States and the European Financial Institutions, </w:t>
      </w:r>
      <w:r w:rsidR="00D8199C" w:rsidRPr="0008440B">
        <w:rPr>
          <w:rFonts w:ascii="Tahoma" w:hAnsi="Tahoma" w:cs="Tahoma"/>
          <w:color w:val="auto"/>
        </w:rPr>
        <w:t>with</w:t>
      </w:r>
      <w:r w:rsidR="00666074" w:rsidRPr="0008440B">
        <w:rPr>
          <w:rFonts w:ascii="Tahoma" w:hAnsi="Tahoma" w:cs="Tahoma"/>
          <w:color w:val="auto"/>
        </w:rPr>
        <w:t xml:space="preserve">in a Team Europe approach, </w:t>
      </w:r>
      <w:r w:rsidR="00D8199C" w:rsidRPr="0008440B">
        <w:rPr>
          <w:rFonts w:ascii="Tahoma" w:hAnsi="Tahoma" w:cs="Tahoma"/>
          <w:color w:val="auto"/>
        </w:rPr>
        <w:t>have</w:t>
      </w:r>
      <w:r w:rsidR="00666074" w:rsidRPr="0008440B">
        <w:rPr>
          <w:rFonts w:ascii="Tahoma" w:hAnsi="Tahoma" w:cs="Tahoma"/>
          <w:color w:val="auto"/>
        </w:rPr>
        <w:t xml:space="preserve"> ma</w:t>
      </w:r>
      <w:r w:rsidR="002F5890" w:rsidRPr="0008440B">
        <w:rPr>
          <w:rFonts w:ascii="Tahoma" w:hAnsi="Tahoma" w:cs="Tahoma"/>
          <w:color w:val="auto"/>
        </w:rPr>
        <w:t xml:space="preserve">de </w:t>
      </w:r>
      <w:r w:rsidR="00666074" w:rsidRPr="0008440B">
        <w:rPr>
          <w:rFonts w:ascii="Tahoma" w:hAnsi="Tahoma" w:cs="Tahoma"/>
          <w:color w:val="auto"/>
        </w:rPr>
        <w:t xml:space="preserve">available </w:t>
      </w:r>
      <w:r w:rsidR="002F5890" w:rsidRPr="0008440B">
        <w:rPr>
          <w:rFonts w:ascii="Tahoma" w:hAnsi="Tahoma" w:cs="Tahoma"/>
          <w:color w:val="auto"/>
        </w:rPr>
        <w:t>more than</w:t>
      </w:r>
      <w:r w:rsidR="00666074" w:rsidRPr="0008440B">
        <w:rPr>
          <w:rFonts w:ascii="Tahoma" w:hAnsi="Tahoma" w:cs="Tahoma"/>
          <w:color w:val="auto"/>
        </w:rPr>
        <w:t xml:space="preserve"> EUR 65</w:t>
      </w:r>
      <w:r w:rsidR="00D8199C" w:rsidRPr="0008440B">
        <w:rPr>
          <w:rFonts w:ascii="Tahoma" w:hAnsi="Tahoma" w:cs="Tahoma"/>
          <w:color w:val="auto"/>
        </w:rPr>
        <w:t>,</w:t>
      </w:r>
      <w:r w:rsidR="00666074" w:rsidRPr="0008440B">
        <w:rPr>
          <w:rFonts w:ascii="Tahoma" w:hAnsi="Tahoma" w:cs="Tahoma"/>
          <w:color w:val="auto"/>
        </w:rPr>
        <w:t>6 billion</w:t>
      </w:r>
      <w:r w:rsidR="00666074" w:rsidRPr="0008440B">
        <w:rPr>
          <w:rFonts w:ascii="Tahoma" w:hAnsi="Tahoma" w:cs="Tahoma"/>
          <w:b/>
          <w:bCs/>
          <w:color w:val="auto"/>
        </w:rPr>
        <w:t xml:space="preserve"> </w:t>
      </w:r>
      <w:r w:rsidR="00666074" w:rsidRPr="0008440B">
        <w:rPr>
          <w:rFonts w:ascii="Tahoma" w:hAnsi="Tahoma" w:cs="Tahoma"/>
          <w:color w:val="auto"/>
        </w:rPr>
        <w:t>in financial, humanitarian, emergency and military support to Ukraine</w:t>
      </w:r>
      <w:r w:rsidR="002F5890" w:rsidRPr="0008440B">
        <w:rPr>
          <w:rFonts w:ascii="Tahoma" w:hAnsi="Tahoma" w:cs="Tahoma"/>
          <w:color w:val="auto"/>
        </w:rPr>
        <w:t>,</w:t>
      </w:r>
      <w:r w:rsidR="00D8199C" w:rsidRPr="0008440B">
        <w:rPr>
          <w:rFonts w:ascii="Tahoma" w:hAnsi="Tahoma" w:cs="Tahoma"/>
          <w:color w:val="auto"/>
        </w:rPr>
        <w:t xml:space="preserve"> enabling </w:t>
      </w:r>
      <w:r w:rsidR="00D8199C" w:rsidRPr="0008440B">
        <w:rPr>
          <w:rFonts w:ascii="Tahoma" w:eastAsia="Times New Roman" w:hAnsi="Tahoma" w:cs="Tahoma"/>
          <w:color w:val="auto"/>
          <w:lang w:eastAsia="ru-RU"/>
        </w:rPr>
        <w:t>maintenance of</w:t>
      </w:r>
      <w:r w:rsidR="00666074" w:rsidRPr="0008440B">
        <w:rPr>
          <w:rFonts w:ascii="Tahoma" w:eastAsia="Times New Roman" w:hAnsi="Tahoma" w:cs="Tahoma"/>
          <w:color w:val="auto"/>
          <w:lang w:eastAsia="ru-RU"/>
        </w:rPr>
        <w:t xml:space="preserve"> essential public services including health care</w:t>
      </w:r>
      <w:r w:rsidR="00F43670" w:rsidRPr="0008440B">
        <w:rPr>
          <w:rStyle w:val="af2"/>
          <w:rFonts w:ascii="Tahoma" w:eastAsia="Times New Roman" w:hAnsi="Tahoma" w:cs="Tahoma"/>
          <w:color w:val="auto"/>
          <w:lang w:eastAsia="ru-RU"/>
        </w:rPr>
        <w:footnoteReference w:id="4"/>
      </w:r>
      <w:r w:rsidR="00666074" w:rsidRPr="0008440B">
        <w:rPr>
          <w:rFonts w:ascii="Tahoma" w:eastAsia="Times New Roman" w:hAnsi="Tahoma" w:cs="Tahoma"/>
          <w:color w:val="auto"/>
          <w:lang w:eastAsia="ru-RU"/>
        </w:rPr>
        <w:t>.</w:t>
      </w:r>
    </w:p>
    <w:p w14:paraId="57C7812B" w14:textId="77777777" w:rsidR="00F43670" w:rsidRPr="0008440B" w:rsidRDefault="00F43670" w:rsidP="00F11254">
      <w:pPr>
        <w:autoSpaceDE w:val="0"/>
        <w:autoSpaceDN w:val="0"/>
        <w:adjustRightInd w:val="0"/>
        <w:jc w:val="both"/>
        <w:rPr>
          <w:sz w:val="24"/>
          <w:szCs w:val="24"/>
          <w:lang w:val="en-GB" w:eastAsia="de-DE"/>
        </w:rPr>
      </w:pPr>
    </w:p>
    <w:p w14:paraId="7342E98A" w14:textId="4B3B6C06" w:rsidR="001E455C" w:rsidRPr="0008440B" w:rsidRDefault="00F43670" w:rsidP="00F11254">
      <w:pPr>
        <w:autoSpaceDE w:val="0"/>
        <w:autoSpaceDN w:val="0"/>
        <w:adjustRightInd w:val="0"/>
        <w:jc w:val="both"/>
        <w:rPr>
          <w:sz w:val="24"/>
          <w:szCs w:val="24"/>
          <w:lang w:val="en-GB"/>
        </w:rPr>
      </w:pPr>
      <w:r w:rsidRPr="0008440B">
        <w:rPr>
          <w:sz w:val="24"/>
          <w:szCs w:val="24"/>
          <w:lang w:val="en-GB" w:eastAsia="de-DE"/>
        </w:rPr>
        <w:t>WHO is estimating</w:t>
      </w:r>
      <w:r w:rsidR="00F33EFE" w:rsidRPr="0008440B">
        <w:rPr>
          <w:rStyle w:val="af2"/>
          <w:sz w:val="24"/>
          <w:szCs w:val="24"/>
          <w:lang w:val="en-GB" w:eastAsia="de-DE"/>
        </w:rPr>
        <w:footnoteReference w:id="5"/>
      </w:r>
      <w:r w:rsidRPr="0008440B">
        <w:rPr>
          <w:sz w:val="24"/>
          <w:szCs w:val="24"/>
          <w:lang w:val="en-GB" w:eastAsia="de-DE"/>
        </w:rPr>
        <w:t xml:space="preserve"> that </w:t>
      </w:r>
      <w:r w:rsidR="00C224E8" w:rsidRPr="0008440B">
        <w:rPr>
          <w:sz w:val="24"/>
          <w:szCs w:val="24"/>
          <w:lang w:val="en-GB" w:eastAsia="de-DE"/>
        </w:rPr>
        <w:t xml:space="preserve">due to the war </w:t>
      </w:r>
      <w:r w:rsidRPr="0008440B">
        <w:rPr>
          <w:sz w:val="24"/>
          <w:szCs w:val="24"/>
          <w:lang w:val="en-GB"/>
        </w:rPr>
        <w:t>Ukraine has experiencing 1.</w:t>
      </w:r>
      <w:r w:rsidR="00C224E8" w:rsidRPr="0008440B">
        <w:rPr>
          <w:sz w:val="24"/>
          <w:szCs w:val="24"/>
          <w:lang w:val="en-GB"/>
        </w:rPr>
        <w:t>234</w:t>
      </w:r>
      <w:r w:rsidRPr="0008440B">
        <w:rPr>
          <w:sz w:val="24"/>
          <w:szCs w:val="24"/>
          <w:lang w:val="en-GB"/>
        </w:rPr>
        <w:t xml:space="preserve"> registered attacks on healthcare</w:t>
      </w:r>
      <w:r w:rsidR="00C224E8" w:rsidRPr="0008440B">
        <w:rPr>
          <w:sz w:val="24"/>
          <w:szCs w:val="24"/>
          <w:lang w:val="en-GB"/>
        </w:rPr>
        <w:t xml:space="preserve"> </w:t>
      </w:r>
      <w:r w:rsidRPr="0008440B">
        <w:rPr>
          <w:sz w:val="24"/>
          <w:szCs w:val="24"/>
          <w:lang w:val="en-GB"/>
        </w:rPr>
        <w:t xml:space="preserve">facilities </w:t>
      </w:r>
      <w:r w:rsidR="00C224E8" w:rsidRPr="0008440B">
        <w:rPr>
          <w:sz w:val="24"/>
          <w:szCs w:val="24"/>
          <w:lang w:val="en-GB"/>
        </w:rPr>
        <w:t xml:space="preserve">(reported by WHO SSA tool) </w:t>
      </w:r>
      <w:r w:rsidRPr="0008440B">
        <w:rPr>
          <w:sz w:val="24"/>
          <w:szCs w:val="24"/>
          <w:lang w:val="en-GB"/>
        </w:rPr>
        <w:t xml:space="preserve">as of </w:t>
      </w:r>
      <w:r w:rsidR="00C224E8" w:rsidRPr="0008440B">
        <w:rPr>
          <w:sz w:val="24"/>
          <w:szCs w:val="24"/>
          <w:lang w:val="en-GB"/>
        </w:rPr>
        <w:t xml:space="preserve">6 October </w:t>
      </w:r>
      <w:r w:rsidRPr="0008440B">
        <w:rPr>
          <w:sz w:val="24"/>
          <w:szCs w:val="24"/>
          <w:lang w:val="en-GB"/>
        </w:rPr>
        <w:t>2023</w:t>
      </w:r>
      <w:r w:rsidR="00F33EFE" w:rsidRPr="0008440B">
        <w:rPr>
          <w:sz w:val="24"/>
          <w:szCs w:val="24"/>
          <w:lang w:val="en-GB"/>
        </w:rPr>
        <w:t xml:space="preserve">, </w:t>
      </w:r>
      <w:r w:rsidR="00C224E8" w:rsidRPr="0008440B">
        <w:rPr>
          <w:sz w:val="24"/>
          <w:szCs w:val="24"/>
          <w:lang w:val="en-GB"/>
        </w:rPr>
        <w:t>14,6 million people are in need of health care</w:t>
      </w:r>
      <w:r w:rsidR="002F5890" w:rsidRPr="0008440B">
        <w:rPr>
          <w:sz w:val="24"/>
          <w:szCs w:val="24"/>
          <w:lang w:val="en-GB"/>
        </w:rPr>
        <w:t>,</w:t>
      </w:r>
      <w:r w:rsidR="00C224E8" w:rsidRPr="0008440B">
        <w:rPr>
          <w:sz w:val="24"/>
          <w:szCs w:val="24"/>
          <w:lang w:val="en-GB"/>
        </w:rPr>
        <w:t xml:space="preserve"> 5,1 million people a</w:t>
      </w:r>
      <w:r w:rsidR="002F5890" w:rsidRPr="0008440B">
        <w:rPr>
          <w:sz w:val="24"/>
          <w:szCs w:val="24"/>
          <w:lang w:val="en-GB"/>
        </w:rPr>
        <w:t xml:space="preserve">re </w:t>
      </w:r>
      <w:r w:rsidR="00C224E8" w:rsidRPr="0008440B">
        <w:rPr>
          <w:sz w:val="24"/>
          <w:szCs w:val="24"/>
          <w:lang w:val="en-GB"/>
        </w:rPr>
        <w:t xml:space="preserve">internally displaced and many regions are suffering from </w:t>
      </w:r>
      <w:r w:rsidR="00F33EFE" w:rsidRPr="0008440B">
        <w:rPr>
          <w:sz w:val="24"/>
          <w:szCs w:val="24"/>
          <w:lang w:val="en-GB"/>
        </w:rPr>
        <w:t>shortage of health</w:t>
      </w:r>
      <w:r w:rsidR="002F5890" w:rsidRPr="0008440B">
        <w:rPr>
          <w:sz w:val="24"/>
          <w:szCs w:val="24"/>
          <w:lang w:val="en-GB"/>
        </w:rPr>
        <w:t xml:space="preserve"> </w:t>
      </w:r>
      <w:r w:rsidR="00F33EFE" w:rsidRPr="0008440B">
        <w:rPr>
          <w:sz w:val="24"/>
          <w:szCs w:val="24"/>
          <w:lang w:val="en-GB"/>
        </w:rPr>
        <w:t>care</w:t>
      </w:r>
      <w:r w:rsidR="00C224E8" w:rsidRPr="0008440B">
        <w:rPr>
          <w:sz w:val="24"/>
          <w:szCs w:val="24"/>
          <w:lang w:val="en-GB"/>
        </w:rPr>
        <w:t xml:space="preserve"> </w:t>
      </w:r>
      <w:r w:rsidR="002F5890" w:rsidRPr="0008440B">
        <w:rPr>
          <w:sz w:val="24"/>
          <w:szCs w:val="24"/>
          <w:lang w:val="en-GB"/>
        </w:rPr>
        <w:t xml:space="preserve">professionals </w:t>
      </w:r>
      <w:r w:rsidR="00C224E8" w:rsidRPr="0008440B">
        <w:rPr>
          <w:sz w:val="24"/>
          <w:szCs w:val="24"/>
          <w:lang w:val="en-GB"/>
        </w:rPr>
        <w:t>and medical supply. Despite this MoH and the National Health Service of Ukraine (NHSU) continue</w:t>
      </w:r>
      <w:r w:rsidR="002F5890" w:rsidRPr="0008440B">
        <w:rPr>
          <w:sz w:val="24"/>
          <w:szCs w:val="24"/>
          <w:lang w:val="en-GB"/>
        </w:rPr>
        <w:t xml:space="preserve"> </w:t>
      </w:r>
      <w:r w:rsidR="00C224E8" w:rsidRPr="0008440B">
        <w:rPr>
          <w:sz w:val="24"/>
          <w:szCs w:val="24"/>
          <w:lang w:val="en-GB"/>
        </w:rPr>
        <w:t xml:space="preserve">to function and so does the </w:t>
      </w:r>
      <w:r w:rsidR="00C224E8" w:rsidRPr="0008440B">
        <w:rPr>
          <w:sz w:val="24"/>
          <w:szCs w:val="24"/>
          <w:lang w:val="en-GB"/>
        </w:rPr>
        <w:lastRenderedPageBreak/>
        <w:t xml:space="preserve">public health surveillance system mainly coordinated through the Public Health Centre of the MoH and Regional Centres of Disease </w:t>
      </w:r>
      <w:r w:rsidR="002F5890" w:rsidRPr="0008440B">
        <w:rPr>
          <w:sz w:val="24"/>
          <w:szCs w:val="24"/>
          <w:lang w:val="en-GB"/>
        </w:rPr>
        <w:t>Control</w:t>
      </w:r>
      <w:r w:rsidR="00C224E8" w:rsidRPr="0008440B">
        <w:rPr>
          <w:sz w:val="24"/>
          <w:szCs w:val="24"/>
          <w:lang w:val="en-GB"/>
        </w:rPr>
        <w:t>.</w:t>
      </w:r>
    </w:p>
    <w:p w14:paraId="0A7F178E" w14:textId="77777777" w:rsidR="00C224E8" w:rsidRPr="0008440B" w:rsidRDefault="00C224E8" w:rsidP="00F11254">
      <w:pPr>
        <w:autoSpaceDE w:val="0"/>
        <w:autoSpaceDN w:val="0"/>
        <w:adjustRightInd w:val="0"/>
        <w:jc w:val="both"/>
        <w:rPr>
          <w:sz w:val="24"/>
          <w:szCs w:val="24"/>
          <w:lang w:val="en-GB"/>
        </w:rPr>
      </w:pPr>
    </w:p>
    <w:p w14:paraId="3A7AAA97" w14:textId="79BEB91F" w:rsidR="00F33EFE" w:rsidRPr="0008440B" w:rsidRDefault="00000000" w:rsidP="00F11254">
      <w:pPr>
        <w:autoSpaceDE w:val="0"/>
        <w:autoSpaceDN w:val="0"/>
        <w:adjustRightInd w:val="0"/>
        <w:jc w:val="both"/>
        <w:rPr>
          <w:sz w:val="24"/>
          <w:szCs w:val="24"/>
          <w:lang w:val="en-GB"/>
        </w:rPr>
      </w:pPr>
      <w:hyperlink r:id="rId11" w:tgtFrame="_blank" w:history="1">
        <w:r w:rsidR="00F36C9E" w:rsidRPr="0008440B">
          <w:rPr>
            <w:rStyle w:val="af3"/>
            <w:color w:val="auto"/>
            <w:sz w:val="24"/>
            <w:szCs w:val="24"/>
            <w:u w:val="none"/>
            <w:shd w:val="clear" w:color="auto" w:fill="FFFFFF"/>
            <w:lang w:val="en-GB"/>
          </w:rPr>
          <w:t xml:space="preserve">The Health Cluster in Ukraine is </w:t>
        </w:r>
      </w:hyperlink>
      <w:r w:rsidR="00F36C9E" w:rsidRPr="0008440B">
        <w:rPr>
          <w:sz w:val="24"/>
          <w:szCs w:val="24"/>
          <w:shd w:val="clear" w:color="auto" w:fill="FFFFFF"/>
          <w:lang w:val="en-GB"/>
        </w:rPr>
        <w:t>coordinat</w:t>
      </w:r>
      <w:r w:rsidR="002F5890" w:rsidRPr="0008440B">
        <w:rPr>
          <w:sz w:val="24"/>
          <w:szCs w:val="24"/>
          <w:shd w:val="clear" w:color="auto" w:fill="FFFFFF"/>
          <w:lang w:val="en-GB"/>
        </w:rPr>
        <w:t xml:space="preserve">ing </w:t>
      </w:r>
      <w:r w:rsidR="00F36C9E" w:rsidRPr="0008440B">
        <w:rPr>
          <w:sz w:val="24"/>
          <w:szCs w:val="24"/>
          <w:shd w:val="clear" w:color="auto" w:fill="FFFFFF"/>
          <w:lang w:val="en-GB"/>
        </w:rPr>
        <w:t xml:space="preserve">the efforts of </w:t>
      </w:r>
      <w:r w:rsidR="002F5890" w:rsidRPr="0008440B">
        <w:rPr>
          <w:sz w:val="24"/>
          <w:szCs w:val="24"/>
          <w:shd w:val="clear" w:color="auto" w:fill="FFFFFF"/>
          <w:lang w:val="en-GB"/>
        </w:rPr>
        <w:t xml:space="preserve">different </w:t>
      </w:r>
      <w:r w:rsidR="00F36C9E" w:rsidRPr="0008440B">
        <w:rPr>
          <w:sz w:val="24"/>
          <w:szCs w:val="24"/>
          <w:shd w:val="clear" w:color="auto" w:fill="FFFFFF"/>
          <w:lang w:val="en-GB"/>
        </w:rPr>
        <w:t>organi</w:t>
      </w:r>
      <w:r w:rsidR="002F5890" w:rsidRPr="0008440B">
        <w:rPr>
          <w:sz w:val="24"/>
          <w:szCs w:val="24"/>
          <w:shd w:val="clear" w:color="auto" w:fill="FFFFFF"/>
          <w:lang w:val="en-GB"/>
        </w:rPr>
        <w:t xml:space="preserve">sations </w:t>
      </w:r>
      <w:r w:rsidR="00F36C9E" w:rsidRPr="0008440B">
        <w:rPr>
          <w:sz w:val="24"/>
          <w:szCs w:val="24"/>
          <w:shd w:val="clear" w:color="auto" w:fill="FFFFFF"/>
          <w:lang w:val="en-GB"/>
        </w:rPr>
        <w:t>involved in the humanitarian response at the national and sub-national levels</w:t>
      </w:r>
      <w:r w:rsidR="002F5890" w:rsidRPr="0008440B">
        <w:rPr>
          <w:sz w:val="24"/>
          <w:szCs w:val="24"/>
          <w:shd w:val="clear" w:color="auto" w:fill="FFFFFF"/>
          <w:lang w:val="en-GB"/>
        </w:rPr>
        <w:t>,</w:t>
      </w:r>
      <w:r w:rsidR="00F36C9E" w:rsidRPr="0008440B">
        <w:rPr>
          <w:sz w:val="24"/>
          <w:szCs w:val="24"/>
          <w:shd w:val="clear" w:color="auto" w:fill="FFFFFF"/>
          <w:lang w:val="en-GB"/>
        </w:rPr>
        <w:t xml:space="preserve"> also with</w:t>
      </w:r>
      <w:r w:rsidR="00C9146A" w:rsidRPr="0008440B">
        <w:rPr>
          <w:sz w:val="24"/>
          <w:szCs w:val="24"/>
          <w:shd w:val="clear" w:color="auto" w:fill="FFFFFF"/>
          <w:lang w:val="en-GB"/>
        </w:rPr>
        <w:t>in</w:t>
      </w:r>
      <w:r w:rsidR="00F36C9E" w:rsidRPr="0008440B">
        <w:rPr>
          <w:sz w:val="24"/>
          <w:szCs w:val="24"/>
          <w:shd w:val="clear" w:color="auto" w:fill="FFFFFF"/>
          <w:lang w:val="en-GB"/>
        </w:rPr>
        <w:t xml:space="preserve"> the health sector</w:t>
      </w:r>
      <w:r w:rsidR="002F5890" w:rsidRPr="0008440B">
        <w:rPr>
          <w:sz w:val="24"/>
          <w:szCs w:val="24"/>
          <w:shd w:val="clear" w:color="auto" w:fill="FFFFFF"/>
          <w:lang w:val="en-GB"/>
        </w:rPr>
        <w:t xml:space="preserve">. </w:t>
      </w:r>
      <w:r w:rsidR="00F36C9E" w:rsidRPr="0008440B">
        <w:rPr>
          <w:sz w:val="24"/>
          <w:szCs w:val="24"/>
          <w:lang w:val="en-GB"/>
        </w:rPr>
        <w:t xml:space="preserve">During </w:t>
      </w:r>
      <w:r w:rsidR="00F33EFE" w:rsidRPr="0008440B">
        <w:rPr>
          <w:sz w:val="24"/>
          <w:szCs w:val="24"/>
          <w:lang w:val="en-GB"/>
        </w:rPr>
        <w:t>2023</w:t>
      </w:r>
      <w:r w:rsidR="00F11254" w:rsidRPr="0008440B">
        <w:rPr>
          <w:sz w:val="24"/>
          <w:szCs w:val="24"/>
          <w:lang w:val="en-GB"/>
        </w:rPr>
        <w:t xml:space="preserve"> and </w:t>
      </w:r>
      <w:r w:rsidR="00F33EFE" w:rsidRPr="0008440B">
        <w:rPr>
          <w:sz w:val="24"/>
          <w:szCs w:val="24"/>
          <w:lang w:val="en-GB"/>
        </w:rPr>
        <w:t>2024, Ukraine’s Humanitarian Needs Overview and Humanitarian Response Plan will</w:t>
      </w:r>
      <w:r w:rsidR="00F36C9E" w:rsidRPr="0008440B">
        <w:rPr>
          <w:sz w:val="24"/>
          <w:szCs w:val="24"/>
          <w:lang w:val="en-GB"/>
        </w:rPr>
        <w:t xml:space="preserve"> </w:t>
      </w:r>
      <w:r w:rsidR="00F33EFE" w:rsidRPr="0008440B">
        <w:rPr>
          <w:sz w:val="24"/>
          <w:szCs w:val="24"/>
          <w:lang w:val="en-GB"/>
        </w:rPr>
        <w:t>be merged into one Humanitarian Needs &amp; Response Plan</w:t>
      </w:r>
      <w:r w:rsidR="00F36C9E" w:rsidRPr="0008440B">
        <w:rPr>
          <w:sz w:val="24"/>
          <w:szCs w:val="24"/>
          <w:lang w:val="en-GB"/>
        </w:rPr>
        <w:t>.</w:t>
      </w:r>
    </w:p>
    <w:p w14:paraId="1470FAFF" w14:textId="77777777" w:rsidR="00F36C9E" w:rsidRPr="0008440B" w:rsidRDefault="00F36C9E" w:rsidP="00F11254">
      <w:pPr>
        <w:autoSpaceDE w:val="0"/>
        <w:autoSpaceDN w:val="0"/>
        <w:adjustRightInd w:val="0"/>
        <w:jc w:val="both"/>
        <w:rPr>
          <w:sz w:val="24"/>
          <w:szCs w:val="24"/>
          <w:lang w:val="en-GB"/>
        </w:rPr>
      </w:pPr>
    </w:p>
    <w:p w14:paraId="46716E2D" w14:textId="6E390DF7" w:rsidR="002A1C8E" w:rsidRPr="0008440B" w:rsidRDefault="002A1C8E" w:rsidP="00F11254">
      <w:pPr>
        <w:autoSpaceDE w:val="0"/>
        <w:autoSpaceDN w:val="0"/>
        <w:adjustRightInd w:val="0"/>
        <w:jc w:val="both"/>
        <w:rPr>
          <w:sz w:val="24"/>
          <w:szCs w:val="24"/>
          <w:lang w:val="en-GB"/>
        </w:rPr>
      </w:pPr>
      <w:r w:rsidRPr="0008440B">
        <w:rPr>
          <w:sz w:val="24"/>
          <w:szCs w:val="24"/>
          <w:lang w:val="en-GB"/>
        </w:rPr>
        <w:t xml:space="preserve">The damage to the health sector </w:t>
      </w:r>
      <w:r w:rsidR="002F5890" w:rsidRPr="0008440B">
        <w:rPr>
          <w:sz w:val="24"/>
          <w:szCs w:val="24"/>
          <w:lang w:val="en-GB"/>
        </w:rPr>
        <w:t xml:space="preserve">due to the Russia war </w:t>
      </w:r>
      <w:r w:rsidRPr="0008440B">
        <w:rPr>
          <w:sz w:val="24"/>
          <w:szCs w:val="24"/>
          <w:lang w:val="en-GB"/>
        </w:rPr>
        <w:t xml:space="preserve">is estimated </w:t>
      </w:r>
      <w:r w:rsidR="002F5890" w:rsidRPr="0008440B">
        <w:rPr>
          <w:sz w:val="24"/>
          <w:szCs w:val="24"/>
          <w:lang w:val="en-GB"/>
        </w:rPr>
        <w:t>to</w:t>
      </w:r>
      <w:r w:rsidRPr="0008440B">
        <w:rPr>
          <w:sz w:val="24"/>
          <w:szCs w:val="24"/>
          <w:lang w:val="en-GB"/>
        </w:rPr>
        <w:t xml:space="preserve"> US</w:t>
      </w:r>
      <w:r w:rsidR="00C9146A" w:rsidRPr="0008440B">
        <w:rPr>
          <w:sz w:val="24"/>
          <w:szCs w:val="24"/>
          <w:lang w:val="en-GB"/>
        </w:rPr>
        <w:t xml:space="preserve">D </w:t>
      </w:r>
      <w:r w:rsidRPr="0008440B">
        <w:rPr>
          <w:sz w:val="24"/>
          <w:szCs w:val="24"/>
          <w:lang w:val="en-GB"/>
        </w:rPr>
        <w:t>1</w:t>
      </w:r>
      <w:r w:rsidR="00C9146A" w:rsidRPr="0008440B">
        <w:rPr>
          <w:sz w:val="24"/>
          <w:szCs w:val="24"/>
          <w:lang w:val="en-GB"/>
        </w:rPr>
        <w:t>,</w:t>
      </w:r>
      <w:r w:rsidRPr="0008440B">
        <w:rPr>
          <w:sz w:val="24"/>
          <w:szCs w:val="24"/>
          <w:lang w:val="en-GB"/>
        </w:rPr>
        <w:t>4 billion</w:t>
      </w:r>
      <w:r w:rsidRPr="0008440B">
        <w:rPr>
          <w:rStyle w:val="af2"/>
          <w:sz w:val="24"/>
          <w:szCs w:val="24"/>
          <w:lang w:val="en-GB"/>
        </w:rPr>
        <w:footnoteReference w:id="6"/>
      </w:r>
      <w:r w:rsidRPr="0008440B">
        <w:rPr>
          <w:sz w:val="24"/>
          <w:szCs w:val="24"/>
          <w:lang w:val="en-GB"/>
        </w:rPr>
        <w:t xml:space="preserve"> representing the cost of destroyed and damaged health infrastructure. The estimated losses of US</w:t>
      </w:r>
      <w:r w:rsidR="00C9146A" w:rsidRPr="0008440B">
        <w:rPr>
          <w:sz w:val="24"/>
          <w:szCs w:val="24"/>
          <w:lang w:val="en-GB"/>
        </w:rPr>
        <w:t xml:space="preserve">D </w:t>
      </w:r>
      <w:r w:rsidRPr="0008440B">
        <w:rPr>
          <w:sz w:val="24"/>
          <w:szCs w:val="24"/>
          <w:lang w:val="en-GB"/>
        </w:rPr>
        <w:t>6</w:t>
      </w:r>
      <w:r w:rsidR="00C9146A" w:rsidRPr="0008440B">
        <w:rPr>
          <w:sz w:val="24"/>
          <w:szCs w:val="24"/>
          <w:lang w:val="en-GB"/>
        </w:rPr>
        <w:t>,</w:t>
      </w:r>
      <w:r w:rsidRPr="0008440B">
        <w:rPr>
          <w:sz w:val="24"/>
          <w:szCs w:val="24"/>
          <w:lang w:val="en-GB"/>
        </w:rPr>
        <w:t>4 billion include</w:t>
      </w:r>
      <w:r w:rsidR="002F5890" w:rsidRPr="0008440B">
        <w:rPr>
          <w:sz w:val="24"/>
          <w:szCs w:val="24"/>
          <w:lang w:val="en-GB"/>
        </w:rPr>
        <w:t>s</w:t>
      </w:r>
      <w:r w:rsidRPr="0008440B">
        <w:rPr>
          <w:sz w:val="24"/>
          <w:szCs w:val="24"/>
          <w:lang w:val="en-GB"/>
        </w:rPr>
        <w:t xml:space="preserve"> the </w:t>
      </w:r>
      <w:r w:rsidR="002F5890" w:rsidRPr="0008440B">
        <w:rPr>
          <w:sz w:val="24"/>
          <w:szCs w:val="24"/>
          <w:lang w:val="en-GB"/>
        </w:rPr>
        <w:t xml:space="preserve">cost of </w:t>
      </w:r>
      <w:r w:rsidRPr="0008440B">
        <w:rPr>
          <w:sz w:val="24"/>
          <w:szCs w:val="24"/>
          <w:lang w:val="en-GB"/>
        </w:rPr>
        <w:t xml:space="preserve">removal of debris and demolition of the destroyed facilities, loss of income of private providers, losses from the financing of facilities that have not been fully operational, and the additional losses of the population’s health. The need of the health sector </w:t>
      </w:r>
      <w:r w:rsidR="002F5890" w:rsidRPr="0008440B">
        <w:rPr>
          <w:sz w:val="24"/>
          <w:szCs w:val="24"/>
          <w:lang w:val="en-GB"/>
        </w:rPr>
        <w:t>is</w:t>
      </w:r>
      <w:r w:rsidRPr="0008440B">
        <w:rPr>
          <w:sz w:val="24"/>
          <w:szCs w:val="24"/>
          <w:lang w:val="en-GB"/>
        </w:rPr>
        <w:t xml:space="preserve"> estimated to be US</w:t>
      </w:r>
      <w:r w:rsidR="00C9146A" w:rsidRPr="0008440B">
        <w:rPr>
          <w:sz w:val="24"/>
          <w:szCs w:val="24"/>
          <w:lang w:val="en-GB"/>
        </w:rPr>
        <w:t xml:space="preserve">D </w:t>
      </w:r>
      <w:r w:rsidRPr="0008440B">
        <w:rPr>
          <w:sz w:val="24"/>
          <w:szCs w:val="24"/>
          <w:lang w:val="en-GB"/>
        </w:rPr>
        <w:t>15</w:t>
      </w:r>
      <w:r w:rsidR="00C9146A" w:rsidRPr="0008440B">
        <w:rPr>
          <w:sz w:val="24"/>
          <w:szCs w:val="24"/>
          <w:lang w:val="en-GB"/>
        </w:rPr>
        <w:t>,</w:t>
      </w:r>
      <w:r w:rsidRPr="0008440B">
        <w:rPr>
          <w:sz w:val="24"/>
          <w:szCs w:val="24"/>
          <w:lang w:val="en-GB"/>
        </w:rPr>
        <w:t>1 billion to cover the accumulated infrastructure damage and losses to the health sector, as well as scale-up of critical health services for the population of Ukraine.</w:t>
      </w:r>
    </w:p>
    <w:p w14:paraId="728272BB" w14:textId="77777777" w:rsidR="00DC5A60" w:rsidRPr="0008440B" w:rsidRDefault="00DC5A60" w:rsidP="00F36C9E">
      <w:pPr>
        <w:autoSpaceDE w:val="0"/>
        <w:autoSpaceDN w:val="0"/>
        <w:adjustRightInd w:val="0"/>
        <w:rPr>
          <w:sz w:val="24"/>
          <w:szCs w:val="24"/>
          <w:lang w:val="en-GB"/>
        </w:rPr>
      </w:pPr>
    </w:p>
    <w:p w14:paraId="54CEBC52" w14:textId="56ED0B1A" w:rsidR="00DC5A60" w:rsidRPr="0008440B" w:rsidRDefault="00DC5A60" w:rsidP="00F11254">
      <w:pPr>
        <w:autoSpaceDE w:val="0"/>
        <w:autoSpaceDN w:val="0"/>
        <w:adjustRightInd w:val="0"/>
        <w:jc w:val="both"/>
        <w:rPr>
          <w:sz w:val="24"/>
          <w:szCs w:val="24"/>
          <w:lang w:val="en-GB"/>
        </w:rPr>
      </w:pPr>
      <w:r w:rsidRPr="0008440B">
        <w:rPr>
          <w:sz w:val="24"/>
          <w:szCs w:val="24"/>
          <w:lang w:val="en-GB"/>
        </w:rPr>
        <w:t xml:space="preserve">Ukraine is not yet a beneficiary of support </w:t>
      </w:r>
      <w:r w:rsidR="00A672A9" w:rsidRPr="0008440B">
        <w:rPr>
          <w:sz w:val="24"/>
          <w:szCs w:val="24"/>
          <w:lang w:val="en-GB"/>
        </w:rPr>
        <w:t xml:space="preserve">provided by </w:t>
      </w:r>
      <w:r w:rsidRPr="0008440B">
        <w:rPr>
          <w:sz w:val="24"/>
          <w:szCs w:val="24"/>
          <w:lang w:val="en-GB"/>
        </w:rPr>
        <w:t>the Pandemic Fund</w:t>
      </w:r>
      <w:r w:rsidR="00A672A9" w:rsidRPr="0008440B">
        <w:rPr>
          <w:sz w:val="24"/>
          <w:szCs w:val="24"/>
          <w:lang w:val="en-GB"/>
        </w:rPr>
        <w:t xml:space="preserve">, where the first </w:t>
      </w:r>
      <w:r w:rsidR="00B70905" w:rsidRPr="0008440B">
        <w:rPr>
          <w:sz w:val="24"/>
          <w:szCs w:val="24"/>
          <w:lang w:val="en-GB"/>
        </w:rPr>
        <w:t xml:space="preserve">round of </w:t>
      </w:r>
      <w:r w:rsidR="00A672A9" w:rsidRPr="0008440B">
        <w:rPr>
          <w:sz w:val="24"/>
          <w:szCs w:val="24"/>
          <w:lang w:val="en-GB"/>
        </w:rPr>
        <w:t>application focused on surveillance, human resources and laboratory systems</w:t>
      </w:r>
      <w:r w:rsidR="005715D7" w:rsidRPr="0008440B">
        <w:rPr>
          <w:sz w:val="24"/>
          <w:szCs w:val="24"/>
          <w:lang w:val="en-GB"/>
        </w:rPr>
        <w:t xml:space="preserve"> as part of improving </w:t>
      </w:r>
      <w:r w:rsidR="005715D7" w:rsidRPr="00467A92">
        <w:rPr>
          <w:sz w:val="24"/>
          <w:szCs w:val="24"/>
          <w:shd w:val="clear" w:color="auto" w:fill="FFFFFF"/>
          <w:lang w:val="en-GB"/>
        </w:rPr>
        <w:t>prevention, preparedness, and response capacities</w:t>
      </w:r>
      <w:r w:rsidR="00A672A9" w:rsidRPr="0008440B">
        <w:rPr>
          <w:sz w:val="24"/>
          <w:szCs w:val="24"/>
          <w:lang w:val="en-GB"/>
        </w:rPr>
        <w:t>.</w:t>
      </w:r>
    </w:p>
    <w:p w14:paraId="74AE9452" w14:textId="77777777" w:rsidR="00B7263A" w:rsidRPr="0008440B" w:rsidRDefault="00B7263A" w:rsidP="00F11254">
      <w:pPr>
        <w:autoSpaceDE w:val="0"/>
        <w:autoSpaceDN w:val="0"/>
        <w:adjustRightInd w:val="0"/>
        <w:jc w:val="both"/>
        <w:rPr>
          <w:sz w:val="24"/>
          <w:szCs w:val="24"/>
          <w:lang w:val="en-GB"/>
        </w:rPr>
      </w:pPr>
    </w:p>
    <w:p w14:paraId="7158D34C" w14:textId="44A921BC" w:rsidR="00013BCB" w:rsidRPr="00467A92" w:rsidRDefault="00B7263A" w:rsidP="00F5345D">
      <w:pPr>
        <w:jc w:val="both"/>
        <w:rPr>
          <w:sz w:val="24"/>
          <w:szCs w:val="24"/>
          <w:lang w:val="en-GB"/>
        </w:rPr>
      </w:pPr>
      <w:r w:rsidRPr="0008440B">
        <w:rPr>
          <w:color w:val="000000"/>
          <w:sz w:val="24"/>
          <w:szCs w:val="24"/>
          <w:shd w:val="clear" w:color="auto" w:fill="FFFFFF"/>
          <w:lang w:val="en-GB"/>
        </w:rPr>
        <w:t xml:space="preserve">As described above one of the main challenges of the MoH are its very limited human resources capacities. Therefore, </w:t>
      </w:r>
      <w:r w:rsidRPr="0008440B">
        <w:rPr>
          <w:sz w:val="24"/>
          <w:szCs w:val="24"/>
          <w:lang w:val="en-GB"/>
        </w:rPr>
        <w:t xml:space="preserve">MoH has requested the Project to provide a number of </w:t>
      </w:r>
      <w:r w:rsidR="0008440B" w:rsidRPr="0008440B">
        <w:rPr>
          <w:sz w:val="24"/>
          <w:szCs w:val="24"/>
          <w:lang w:val="en-GB"/>
        </w:rPr>
        <w:t xml:space="preserve">legal </w:t>
      </w:r>
      <w:r w:rsidRPr="0008440B">
        <w:rPr>
          <w:sz w:val="24"/>
          <w:szCs w:val="24"/>
          <w:lang w:val="en-GB"/>
        </w:rPr>
        <w:t>junior non-key experts</w:t>
      </w:r>
      <w:r w:rsidR="00013BCB" w:rsidRPr="00467A92">
        <w:rPr>
          <w:sz w:val="24"/>
          <w:szCs w:val="24"/>
          <w:lang w:val="en-GB"/>
        </w:rPr>
        <w:t xml:space="preserve"> </w:t>
      </w:r>
      <w:r w:rsidRPr="0008440B">
        <w:rPr>
          <w:sz w:val="24"/>
          <w:szCs w:val="24"/>
          <w:lang w:val="en-GB"/>
        </w:rPr>
        <w:t xml:space="preserve">to be </w:t>
      </w:r>
      <w:r w:rsidRPr="0008440B">
        <w:rPr>
          <w:color w:val="000000"/>
          <w:sz w:val="24"/>
          <w:szCs w:val="24"/>
          <w:shd w:val="clear" w:color="auto" w:fill="FFFFFF"/>
          <w:lang w:val="en-GB"/>
        </w:rPr>
        <w:t xml:space="preserve">accompanied by international senior experts </w:t>
      </w:r>
      <w:r w:rsidR="00266771" w:rsidRPr="0008440B">
        <w:rPr>
          <w:color w:val="000000"/>
          <w:sz w:val="24"/>
          <w:szCs w:val="24"/>
          <w:shd w:val="clear" w:color="auto" w:fill="FFFFFF"/>
          <w:lang w:val="en-GB"/>
        </w:rPr>
        <w:t xml:space="preserve">to </w:t>
      </w:r>
      <w:r w:rsidRPr="0008440B">
        <w:rPr>
          <w:sz w:val="24"/>
          <w:szCs w:val="24"/>
          <w:lang w:val="en-GB"/>
        </w:rPr>
        <w:t xml:space="preserve">accelerate and support </w:t>
      </w:r>
      <w:r w:rsidR="00013BCB" w:rsidRPr="00467A92">
        <w:rPr>
          <w:sz w:val="24"/>
          <w:szCs w:val="24"/>
          <w:lang w:val="en-GB"/>
        </w:rPr>
        <w:t>European integration processes in the healthcare sector</w:t>
      </w:r>
      <w:r w:rsidR="00F5345D" w:rsidRPr="00A409A5">
        <w:rPr>
          <w:color w:val="365F91" w:themeColor="accent1" w:themeShade="BF"/>
          <w:sz w:val="24"/>
          <w:szCs w:val="24"/>
          <w:lang w:val="en-GB"/>
        </w:rPr>
        <w:t xml:space="preserve"> </w:t>
      </w:r>
      <w:r w:rsidR="00F5345D" w:rsidRPr="00467A92">
        <w:rPr>
          <w:sz w:val="24"/>
          <w:szCs w:val="24"/>
          <w:lang w:val="en-GB"/>
        </w:rPr>
        <w:t xml:space="preserve">in </w:t>
      </w:r>
      <w:r w:rsidR="00013BCB" w:rsidRPr="00467A92">
        <w:rPr>
          <w:sz w:val="24"/>
          <w:szCs w:val="24"/>
          <w:lang w:val="en-GB"/>
        </w:rPr>
        <w:t>the following areas:</w:t>
      </w:r>
    </w:p>
    <w:p w14:paraId="205420D1" w14:textId="4F9800F0" w:rsidR="00266771" w:rsidRPr="00467A92" w:rsidRDefault="00013BCB" w:rsidP="00013BCB">
      <w:pPr>
        <w:pStyle w:val="ab"/>
        <w:numPr>
          <w:ilvl w:val="3"/>
          <w:numId w:val="13"/>
        </w:numPr>
        <w:ind w:left="709"/>
        <w:jc w:val="both"/>
        <w:rPr>
          <w:rFonts w:ascii="Tahoma" w:hAnsi="Tahoma"/>
          <w:sz w:val="24"/>
          <w:szCs w:val="24"/>
        </w:rPr>
      </w:pPr>
      <w:r w:rsidRPr="00467A92">
        <w:rPr>
          <w:rFonts w:ascii="Tahoma" w:hAnsi="Tahoma"/>
          <w:sz w:val="24"/>
          <w:szCs w:val="24"/>
        </w:rPr>
        <w:t>Public health, including the prevention and control of communicable and non-communicable diseases and cross-border health threats;</w:t>
      </w:r>
    </w:p>
    <w:p w14:paraId="72A05A45" w14:textId="5CC4D222" w:rsidR="00013BCB" w:rsidRPr="00467A92" w:rsidRDefault="00013BCB" w:rsidP="00013BCB">
      <w:pPr>
        <w:pStyle w:val="ab"/>
        <w:numPr>
          <w:ilvl w:val="3"/>
          <w:numId w:val="13"/>
        </w:numPr>
        <w:ind w:left="709"/>
        <w:jc w:val="both"/>
        <w:rPr>
          <w:rFonts w:ascii="Tahoma" w:hAnsi="Tahoma"/>
          <w:sz w:val="24"/>
          <w:szCs w:val="24"/>
        </w:rPr>
      </w:pPr>
      <w:r w:rsidRPr="00467A92">
        <w:rPr>
          <w:rFonts w:ascii="Tahoma" w:hAnsi="Tahoma"/>
          <w:sz w:val="24"/>
          <w:szCs w:val="24"/>
        </w:rPr>
        <w:t>Medical services, including cross-border medicine</w:t>
      </w:r>
      <w:r w:rsidR="00F5345D" w:rsidRPr="00467A92">
        <w:rPr>
          <w:rFonts w:ascii="Tahoma" w:hAnsi="Tahoma"/>
          <w:sz w:val="24"/>
          <w:szCs w:val="24"/>
        </w:rPr>
        <w:t>;</w:t>
      </w:r>
    </w:p>
    <w:p w14:paraId="0BD25AEA" w14:textId="0BE01AF0" w:rsidR="00013BCB" w:rsidRPr="00467A92" w:rsidRDefault="00013BCB" w:rsidP="00013BCB">
      <w:pPr>
        <w:pStyle w:val="ab"/>
        <w:numPr>
          <w:ilvl w:val="3"/>
          <w:numId w:val="13"/>
        </w:numPr>
        <w:ind w:left="709"/>
        <w:jc w:val="both"/>
        <w:rPr>
          <w:rFonts w:ascii="Tahoma" w:hAnsi="Tahoma"/>
          <w:sz w:val="24"/>
          <w:szCs w:val="24"/>
        </w:rPr>
      </w:pPr>
      <w:r w:rsidRPr="00467A92">
        <w:rPr>
          <w:rFonts w:ascii="Tahoma" w:hAnsi="Tahoma"/>
          <w:sz w:val="24"/>
          <w:szCs w:val="24"/>
        </w:rPr>
        <w:t>Digitalisation of the healthcare system, including the legislative implementation of EU legal acts regulating the implementation of electronic registers and information bases</w:t>
      </w:r>
      <w:r w:rsidR="00F5345D" w:rsidRPr="00467A92">
        <w:rPr>
          <w:rFonts w:ascii="Tahoma" w:hAnsi="Tahoma"/>
          <w:sz w:val="24"/>
          <w:szCs w:val="24"/>
        </w:rPr>
        <w:t>.</w:t>
      </w:r>
    </w:p>
    <w:p w14:paraId="12BC0825" w14:textId="6DD7D297" w:rsidR="00BD2765" w:rsidRPr="0008440B" w:rsidRDefault="00BD2765" w:rsidP="00D475D2">
      <w:pPr>
        <w:spacing w:before="60" w:after="60"/>
        <w:jc w:val="both"/>
        <w:rPr>
          <w:color w:val="000000"/>
          <w:sz w:val="24"/>
          <w:szCs w:val="24"/>
          <w:lang w:val="en-GB"/>
        </w:rPr>
      </w:pPr>
    </w:p>
    <w:p w14:paraId="529123FE" w14:textId="77777777" w:rsidR="00BD2765" w:rsidRPr="0008440B" w:rsidRDefault="00BD2765" w:rsidP="00D475D2">
      <w:pPr>
        <w:spacing w:after="120"/>
        <w:jc w:val="both"/>
        <w:rPr>
          <w:color w:val="00000A"/>
          <w:sz w:val="24"/>
          <w:szCs w:val="24"/>
          <w:lang w:val="en-GB"/>
        </w:rPr>
      </w:pPr>
      <w:bookmarkStart w:id="2" w:name="_Toc304264274"/>
      <w:bookmarkEnd w:id="2"/>
      <w:r w:rsidRPr="0008440B">
        <w:rPr>
          <w:b/>
          <w:bCs/>
          <w:color w:val="000000"/>
          <w:sz w:val="24"/>
          <w:szCs w:val="24"/>
          <w:lang w:val="en-GB"/>
        </w:rPr>
        <w:t>2. SCOPE OF WORK</w:t>
      </w:r>
    </w:p>
    <w:p w14:paraId="251EBC17" w14:textId="77777777" w:rsidR="00BD2765" w:rsidRPr="0008440B" w:rsidRDefault="00BD2765" w:rsidP="00D475D2">
      <w:pPr>
        <w:spacing w:before="120" w:after="120"/>
        <w:jc w:val="both"/>
        <w:rPr>
          <w:b/>
          <w:bCs/>
          <w:color w:val="000000"/>
          <w:sz w:val="24"/>
          <w:szCs w:val="24"/>
          <w:lang w:val="en-GB"/>
        </w:rPr>
      </w:pPr>
      <w:bookmarkStart w:id="3" w:name="_Toc304264275"/>
      <w:r w:rsidRPr="0008440B">
        <w:rPr>
          <w:b/>
          <w:bCs/>
          <w:color w:val="000000"/>
          <w:sz w:val="24"/>
          <w:szCs w:val="24"/>
          <w:lang w:val="en-GB"/>
        </w:rPr>
        <w:t>2.1</w:t>
      </w:r>
      <w:bookmarkEnd w:id="3"/>
      <w:r w:rsidRPr="0008440B">
        <w:rPr>
          <w:b/>
          <w:bCs/>
          <w:color w:val="000000"/>
          <w:sz w:val="24"/>
          <w:szCs w:val="24"/>
          <w:lang w:val="en-GB"/>
        </w:rPr>
        <w:t>. Objective</w:t>
      </w:r>
    </w:p>
    <w:p w14:paraId="08AF3044" w14:textId="67DF92CB" w:rsidR="001258EB" w:rsidRPr="0008440B" w:rsidRDefault="001258EB" w:rsidP="00D475D2">
      <w:pPr>
        <w:spacing w:after="120"/>
        <w:jc w:val="both"/>
        <w:rPr>
          <w:bCs/>
          <w:color w:val="000000"/>
          <w:sz w:val="24"/>
          <w:szCs w:val="24"/>
          <w:lang w:val="en-GB"/>
        </w:rPr>
      </w:pPr>
      <w:r w:rsidRPr="0008440B">
        <w:rPr>
          <w:bCs/>
          <w:color w:val="000000"/>
          <w:sz w:val="24"/>
          <w:szCs w:val="24"/>
          <w:lang w:val="en-GB"/>
        </w:rPr>
        <w:t>T</w:t>
      </w:r>
      <w:r w:rsidR="00145051" w:rsidRPr="0008440B">
        <w:rPr>
          <w:bCs/>
          <w:color w:val="000000"/>
          <w:sz w:val="24"/>
          <w:szCs w:val="24"/>
          <w:lang w:val="en-GB"/>
        </w:rPr>
        <w:t>he overall objective of th</w:t>
      </w:r>
      <w:r w:rsidR="00C9146A" w:rsidRPr="0008440B">
        <w:rPr>
          <w:bCs/>
          <w:color w:val="000000"/>
          <w:sz w:val="24"/>
          <w:szCs w:val="24"/>
          <w:lang w:val="en-GB"/>
        </w:rPr>
        <w:t>is</w:t>
      </w:r>
      <w:r w:rsidR="00145051" w:rsidRPr="0008440B">
        <w:rPr>
          <w:bCs/>
          <w:color w:val="000000"/>
          <w:sz w:val="24"/>
          <w:szCs w:val="24"/>
          <w:lang w:val="en-GB"/>
        </w:rPr>
        <w:t xml:space="preserve"> project is to support the modernisation and development of a sustainable public health </w:t>
      </w:r>
      <w:r w:rsidR="0021291C" w:rsidRPr="0008440B">
        <w:rPr>
          <w:bCs/>
          <w:color w:val="000000"/>
          <w:sz w:val="24"/>
          <w:szCs w:val="24"/>
          <w:lang w:val="en-GB"/>
        </w:rPr>
        <w:t xml:space="preserve">system </w:t>
      </w:r>
      <w:r w:rsidR="00145051" w:rsidRPr="0008440B">
        <w:rPr>
          <w:bCs/>
          <w:color w:val="000000"/>
          <w:sz w:val="24"/>
          <w:szCs w:val="24"/>
          <w:lang w:val="en-GB"/>
        </w:rPr>
        <w:t>able to ensure disease prevention and control standards in line with EU legislation, requirements and practices</w:t>
      </w:r>
      <w:r w:rsidR="003D5B14" w:rsidRPr="0008440B">
        <w:rPr>
          <w:bCs/>
          <w:color w:val="000000"/>
          <w:sz w:val="24"/>
          <w:szCs w:val="24"/>
          <w:lang w:val="en-GB"/>
        </w:rPr>
        <w:t>, with a view to the existing emergency and health security situation in the health sector in Ukraine</w:t>
      </w:r>
      <w:r w:rsidRPr="0008440B">
        <w:rPr>
          <w:bCs/>
          <w:color w:val="000000"/>
          <w:sz w:val="24"/>
          <w:szCs w:val="24"/>
          <w:lang w:val="en-GB"/>
        </w:rPr>
        <w:t>.</w:t>
      </w:r>
    </w:p>
    <w:p w14:paraId="12B19120" w14:textId="3231D63F" w:rsidR="00145051" w:rsidRPr="00467A92" w:rsidRDefault="003D5B14" w:rsidP="00D475D2">
      <w:pPr>
        <w:spacing w:after="120"/>
        <w:jc w:val="both"/>
        <w:rPr>
          <w:sz w:val="24"/>
          <w:szCs w:val="24"/>
          <w:shd w:val="clear" w:color="auto" w:fill="FFFFFF"/>
          <w:lang w:val="en-GB"/>
        </w:rPr>
      </w:pPr>
      <w:r w:rsidRPr="0008440B">
        <w:rPr>
          <w:bCs/>
          <w:color w:val="000000"/>
          <w:sz w:val="24"/>
          <w:szCs w:val="24"/>
          <w:lang w:val="en-GB"/>
        </w:rPr>
        <w:t xml:space="preserve">The specific </w:t>
      </w:r>
      <w:r w:rsidR="00145051" w:rsidRPr="0008440B">
        <w:rPr>
          <w:bCs/>
          <w:color w:val="000000"/>
          <w:sz w:val="24"/>
          <w:szCs w:val="24"/>
          <w:lang w:val="en-GB"/>
        </w:rPr>
        <w:t xml:space="preserve">purpose of this assignment is to support </w:t>
      </w:r>
      <w:r w:rsidRPr="0008440B">
        <w:rPr>
          <w:bCs/>
          <w:color w:val="000000"/>
          <w:sz w:val="24"/>
          <w:szCs w:val="24"/>
          <w:lang w:val="en-GB"/>
        </w:rPr>
        <w:t>the MoH</w:t>
      </w:r>
      <w:r w:rsidR="00013BCB" w:rsidRPr="00467A92">
        <w:rPr>
          <w:bCs/>
          <w:color w:val="000000"/>
          <w:sz w:val="24"/>
          <w:szCs w:val="24"/>
          <w:lang w:val="en-GB"/>
        </w:rPr>
        <w:t xml:space="preserve"> </w:t>
      </w:r>
      <w:r w:rsidRPr="0008440B">
        <w:rPr>
          <w:rFonts w:eastAsia="Calibri"/>
          <w:color w:val="000000"/>
          <w:sz w:val="24"/>
          <w:szCs w:val="24"/>
          <w:lang w:val="en-GB"/>
        </w:rPr>
        <w:t xml:space="preserve">and other relevant stakeholders in </w:t>
      </w:r>
      <w:r w:rsidRPr="0008440B">
        <w:rPr>
          <w:sz w:val="24"/>
          <w:szCs w:val="24"/>
          <w:lang w:val="en-GB"/>
        </w:rPr>
        <w:t xml:space="preserve">strengthening the public health system and its capacity in Ukraine, in particular through </w:t>
      </w:r>
      <w:r w:rsidR="00485790" w:rsidRPr="00467A92">
        <w:rPr>
          <w:sz w:val="24"/>
          <w:szCs w:val="24"/>
          <w:lang w:val="en-GB"/>
        </w:rPr>
        <w:t>the adaptation of Ukrainian legislation to the EU acquis and support to the Ministry of Health in its approximation to EU healthcare legislation.</w:t>
      </w:r>
    </w:p>
    <w:p w14:paraId="58F418E1" w14:textId="77777777" w:rsidR="00335303" w:rsidRPr="0008440B" w:rsidRDefault="00335303" w:rsidP="00D475D2">
      <w:pPr>
        <w:spacing w:after="120"/>
        <w:jc w:val="both"/>
        <w:rPr>
          <w:bCs/>
          <w:color w:val="000000"/>
          <w:sz w:val="24"/>
          <w:szCs w:val="24"/>
          <w:lang w:val="en-GB"/>
        </w:rPr>
      </w:pPr>
    </w:p>
    <w:p w14:paraId="7B1E639C" w14:textId="20339287" w:rsidR="00145051" w:rsidRPr="0008440B" w:rsidRDefault="00145051" w:rsidP="00145051">
      <w:pPr>
        <w:spacing w:before="120" w:after="120"/>
        <w:jc w:val="both"/>
        <w:rPr>
          <w:b/>
          <w:bCs/>
          <w:color w:val="000000"/>
          <w:sz w:val="24"/>
          <w:szCs w:val="24"/>
          <w:lang w:val="en-GB"/>
        </w:rPr>
      </w:pPr>
      <w:r w:rsidRPr="0008440B">
        <w:rPr>
          <w:b/>
          <w:bCs/>
          <w:color w:val="000000"/>
          <w:sz w:val="27"/>
          <w:szCs w:val="27"/>
          <w:lang w:val="en-GB"/>
        </w:rPr>
        <w:lastRenderedPageBreak/>
        <w:t>2.</w:t>
      </w:r>
      <w:r w:rsidR="002C4B1E" w:rsidRPr="0008440B">
        <w:rPr>
          <w:b/>
          <w:bCs/>
          <w:color w:val="000000"/>
          <w:sz w:val="24"/>
          <w:szCs w:val="24"/>
          <w:lang w:val="en-GB"/>
        </w:rPr>
        <w:t>2</w:t>
      </w:r>
      <w:r w:rsidRPr="0008440B">
        <w:rPr>
          <w:b/>
          <w:bCs/>
          <w:color w:val="000000"/>
          <w:sz w:val="24"/>
          <w:szCs w:val="24"/>
          <w:lang w:val="en-GB"/>
        </w:rPr>
        <w:t>. Methodology</w:t>
      </w:r>
    </w:p>
    <w:p w14:paraId="5FF9DEB1" w14:textId="757AB079" w:rsidR="00FC062D" w:rsidRPr="0008440B" w:rsidRDefault="00145051" w:rsidP="00145051">
      <w:pPr>
        <w:spacing w:before="120" w:after="120"/>
        <w:jc w:val="both"/>
        <w:rPr>
          <w:color w:val="000000"/>
          <w:sz w:val="24"/>
          <w:szCs w:val="24"/>
          <w:lang w:val="en-GB"/>
        </w:rPr>
      </w:pPr>
      <w:r w:rsidRPr="0008440B">
        <w:rPr>
          <w:color w:val="000000"/>
          <w:sz w:val="24"/>
          <w:szCs w:val="24"/>
          <w:lang w:val="en-GB"/>
        </w:rPr>
        <w:t xml:space="preserve">At the beginning of their mission, the short-term expert will present the </w:t>
      </w:r>
      <w:r w:rsidR="00335303" w:rsidRPr="0008440B">
        <w:rPr>
          <w:color w:val="000000"/>
          <w:sz w:val="24"/>
          <w:szCs w:val="24"/>
          <w:lang w:val="en-GB"/>
        </w:rPr>
        <w:t xml:space="preserve">draft </w:t>
      </w:r>
      <w:r w:rsidRPr="0008440B">
        <w:rPr>
          <w:color w:val="000000"/>
          <w:sz w:val="24"/>
          <w:szCs w:val="24"/>
          <w:lang w:val="en-GB"/>
        </w:rPr>
        <w:t xml:space="preserve">methodology </w:t>
      </w:r>
      <w:r w:rsidR="00335303" w:rsidRPr="0008440B">
        <w:rPr>
          <w:color w:val="000000"/>
          <w:sz w:val="24"/>
          <w:szCs w:val="24"/>
          <w:lang w:val="en-GB"/>
        </w:rPr>
        <w:t xml:space="preserve">to be applied for the </w:t>
      </w:r>
      <w:r w:rsidRPr="0008440B">
        <w:rPr>
          <w:color w:val="000000"/>
          <w:sz w:val="24"/>
          <w:szCs w:val="24"/>
          <w:lang w:val="en-GB"/>
        </w:rPr>
        <w:t>implementation of th</w:t>
      </w:r>
      <w:r w:rsidR="00335303" w:rsidRPr="0008440B">
        <w:rPr>
          <w:color w:val="000000"/>
          <w:sz w:val="24"/>
          <w:szCs w:val="24"/>
          <w:lang w:val="en-GB"/>
        </w:rPr>
        <w:t xml:space="preserve">is </w:t>
      </w:r>
      <w:r w:rsidRPr="0008440B">
        <w:rPr>
          <w:color w:val="000000"/>
          <w:sz w:val="24"/>
          <w:szCs w:val="24"/>
          <w:lang w:val="en-GB"/>
        </w:rPr>
        <w:t xml:space="preserve">assignment and </w:t>
      </w:r>
      <w:r w:rsidR="00335303" w:rsidRPr="0008440B">
        <w:rPr>
          <w:color w:val="000000"/>
          <w:sz w:val="24"/>
          <w:szCs w:val="24"/>
          <w:lang w:val="en-GB"/>
        </w:rPr>
        <w:t>reporting modality to the MoH and the Team Leader that will provide comments based on which the methodology will be adjusted and approved</w:t>
      </w:r>
      <w:r w:rsidRPr="0008440B">
        <w:rPr>
          <w:color w:val="000000"/>
          <w:sz w:val="24"/>
          <w:szCs w:val="24"/>
          <w:lang w:val="en-GB"/>
        </w:rPr>
        <w:t>.</w:t>
      </w:r>
    </w:p>
    <w:p w14:paraId="03CA1374" w14:textId="77777777" w:rsidR="00C21389" w:rsidRPr="0008440B" w:rsidRDefault="00C21389" w:rsidP="00145051">
      <w:pPr>
        <w:spacing w:before="120" w:after="120"/>
        <w:jc w:val="both"/>
        <w:rPr>
          <w:color w:val="000000"/>
          <w:sz w:val="24"/>
          <w:szCs w:val="24"/>
          <w:lang w:val="en-GB"/>
        </w:rPr>
      </w:pPr>
    </w:p>
    <w:p w14:paraId="04E09914" w14:textId="2479038F" w:rsidR="00C21389" w:rsidRPr="0008440B" w:rsidRDefault="00B7263A" w:rsidP="00C21389">
      <w:pPr>
        <w:tabs>
          <w:tab w:val="left" w:pos="720"/>
          <w:tab w:val="left" w:pos="1440"/>
          <w:tab w:val="left" w:pos="2160"/>
          <w:tab w:val="left" w:pos="2880"/>
          <w:tab w:val="left" w:pos="3600"/>
          <w:tab w:val="left" w:pos="4320"/>
          <w:tab w:val="left" w:pos="5040"/>
          <w:tab w:val="left" w:pos="6552"/>
        </w:tabs>
        <w:spacing w:after="60"/>
        <w:jc w:val="both"/>
        <w:rPr>
          <w:b/>
          <w:bCs/>
          <w:color w:val="000000"/>
          <w:sz w:val="24"/>
          <w:szCs w:val="24"/>
          <w:lang w:val="en-GB"/>
        </w:rPr>
      </w:pPr>
      <w:r w:rsidRPr="0008440B">
        <w:rPr>
          <w:b/>
          <w:bCs/>
          <w:color w:val="000000"/>
          <w:sz w:val="24"/>
          <w:szCs w:val="24"/>
          <w:lang w:val="en-GB"/>
        </w:rPr>
        <w:t>2</w:t>
      </w:r>
      <w:r w:rsidR="00C21389" w:rsidRPr="0008440B">
        <w:rPr>
          <w:b/>
          <w:bCs/>
          <w:color w:val="000000"/>
          <w:sz w:val="24"/>
          <w:szCs w:val="24"/>
          <w:lang w:val="en-GB"/>
        </w:rPr>
        <w:t>.</w:t>
      </w:r>
      <w:r w:rsidR="002C4B1E" w:rsidRPr="0008440B">
        <w:rPr>
          <w:b/>
          <w:bCs/>
          <w:color w:val="000000"/>
          <w:sz w:val="24"/>
          <w:szCs w:val="24"/>
          <w:lang w:val="en-GB"/>
        </w:rPr>
        <w:t>3</w:t>
      </w:r>
      <w:r w:rsidR="00C21389" w:rsidRPr="0008440B">
        <w:rPr>
          <w:b/>
          <w:bCs/>
          <w:color w:val="000000"/>
          <w:sz w:val="24"/>
          <w:szCs w:val="24"/>
          <w:lang w:val="en-GB"/>
        </w:rPr>
        <w:t>. Context of the activities and issues at stake</w:t>
      </w:r>
    </w:p>
    <w:p w14:paraId="0F7F423E" w14:textId="77777777" w:rsidR="00C21389" w:rsidRPr="0008440B" w:rsidRDefault="00C21389" w:rsidP="00C21389">
      <w:pPr>
        <w:autoSpaceDE w:val="0"/>
        <w:autoSpaceDN w:val="0"/>
        <w:adjustRightInd w:val="0"/>
        <w:jc w:val="both"/>
        <w:rPr>
          <w:color w:val="000000"/>
          <w:sz w:val="22"/>
          <w:szCs w:val="22"/>
          <w:lang w:val="en-GB"/>
        </w:rPr>
      </w:pPr>
    </w:p>
    <w:p w14:paraId="201D07A9" w14:textId="59354016" w:rsidR="00C21389" w:rsidRPr="0008440B" w:rsidRDefault="00C21389" w:rsidP="00C21389">
      <w:pPr>
        <w:spacing w:after="120"/>
        <w:jc w:val="both"/>
        <w:rPr>
          <w:bCs/>
          <w:color w:val="000000"/>
          <w:sz w:val="24"/>
          <w:szCs w:val="24"/>
          <w:lang w:val="en-GB"/>
        </w:rPr>
      </w:pPr>
      <w:r w:rsidRPr="0008440B">
        <w:rPr>
          <w:bCs/>
          <w:color w:val="000000"/>
          <w:sz w:val="24"/>
          <w:szCs w:val="24"/>
          <w:lang w:val="en-GB"/>
        </w:rPr>
        <w:t xml:space="preserve">Under the leadership and supervision of the Team Leader, </w:t>
      </w:r>
      <w:r w:rsidR="00F5345D" w:rsidRPr="0008440B">
        <w:rPr>
          <w:bCs/>
          <w:color w:val="000000"/>
          <w:sz w:val="24"/>
          <w:szCs w:val="24"/>
          <w:lang w:val="en-GB"/>
        </w:rPr>
        <w:t xml:space="preserve">and with the guidance of international </w:t>
      </w:r>
      <w:r w:rsidR="0008440B" w:rsidRPr="0008440B">
        <w:rPr>
          <w:bCs/>
          <w:color w:val="000000"/>
          <w:sz w:val="24"/>
          <w:szCs w:val="24"/>
          <w:lang w:val="en-GB"/>
        </w:rPr>
        <w:t xml:space="preserve">non-key </w:t>
      </w:r>
      <w:r w:rsidR="00F5345D" w:rsidRPr="0008440B">
        <w:rPr>
          <w:bCs/>
          <w:color w:val="000000"/>
          <w:sz w:val="24"/>
          <w:szCs w:val="24"/>
          <w:lang w:val="en-GB"/>
        </w:rPr>
        <w:t xml:space="preserve">experts, </w:t>
      </w:r>
      <w:r w:rsidRPr="0008440B">
        <w:rPr>
          <w:bCs/>
          <w:color w:val="000000"/>
          <w:sz w:val="24"/>
          <w:szCs w:val="24"/>
          <w:lang w:val="en-GB"/>
        </w:rPr>
        <w:t xml:space="preserve">the </w:t>
      </w:r>
      <w:r w:rsidR="0008440B" w:rsidRPr="0008440B">
        <w:rPr>
          <w:bCs/>
          <w:color w:val="000000"/>
          <w:sz w:val="24"/>
          <w:szCs w:val="24"/>
          <w:lang w:val="en-GB"/>
        </w:rPr>
        <w:t xml:space="preserve">legal </w:t>
      </w:r>
      <w:r w:rsidRPr="0008440B">
        <w:rPr>
          <w:bCs/>
          <w:color w:val="000000"/>
          <w:sz w:val="24"/>
          <w:szCs w:val="24"/>
          <w:lang w:val="en-GB"/>
        </w:rPr>
        <w:t xml:space="preserve">junior non-key expert will </w:t>
      </w:r>
      <w:r w:rsidR="00024F26" w:rsidRPr="0008440B">
        <w:rPr>
          <w:bCs/>
          <w:color w:val="000000"/>
          <w:sz w:val="24"/>
          <w:szCs w:val="24"/>
          <w:lang w:val="en-GB"/>
        </w:rPr>
        <w:t>support</w:t>
      </w:r>
      <w:r w:rsidR="00B7263A" w:rsidRPr="0008440B">
        <w:rPr>
          <w:bCs/>
          <w:color w:val="000000"/>
          <w:sz w:val="24"/>
          <w:szCs w:val="24"/>
          <w:lang w:val="en-GB"/>
        </w:rPr>
        <w:t xml:space="preserve"> the following </w:t>
      </w:r>
      <w:r w:rsidR="00B75114" w:rsidRPr="0008440B">
        <w:rPr>
          <w:bCs/>
          <w:color w:val="000000"/>
          <w:sz w:val="24"/>
          <w:szCs w:val="24"/>
          <w:lang w:val="en-GB"/>
        </w:rPr>
        <w:t xml:space="preserve">main </w:t>
      </w:r>
      <w:r w:rsidR="00024F26" w:rsidRPr="0008440B">
        <w:rPr>
          <w:bCs/>
          <w:color w:val="000000"/>
          <w:sz w:val="24"/>
          <w:szCs w:val="24"/>
          <w:lang w:val="en-GB"/>
        </w:rPr>
        <w:t>issues</w:t>
      </w:r>
      <w:r w:rsidRPr="0008440B">
        <w:rPr>
          <w:bCs/>
          <w:color w:val="000000"/>
          <w:sz w:val="24"/>
          <w:szCs w:val="24"/>
          <w:lang w:val="en-GB"/>
        </w:rPr>
        <w:t xml:space="preserve">: </w:t>
      </w:r>
    </w:p>
    <w:p w14:paraId="1A37D64F" w14:textId="6845641C" w:rsidR="00FA6594" w:rsidRPr="0008440B" w:rsidRDefault="00A004EE" w:rsidP="001E66A5">
      <w:pPr>
        <w:pStyle w:val="Default"/>
        <w:numPr>
          <w:ilvl w:val="0"/>
          <w:numId w:val="21"/>
        </w:numPr>
        <w:spacing w:before="360" w:after="144"/>
        <w:jc w:val="both"/>
        <w:rPr>
          <w:rFonts w:ascii="Tahoma" w:eastAsia="Times New Roman" w:hAnsi="Tahoma" w:cs="Tahoma"/>
          <w:lang w:eastAsia="ru-RU"/>
        </w:rPr>
      </w:pPr>
      <w:r w:rsidRPr="00467A92">
        <w:rPr>
          <w:rFonts w:ascii="Tahoma" w:eastAsia="Times New Roman" w:hAnsi="Tahoma" w:cs="Tahoma"/>
          <w:lang w:eastAsia="ru-RU"/>
        </w:rPr>
        <w:t xml:space="preserve">EU legislation analysis and support </w:t>
      </w:r>
      <w:r w:rsidR="00FA6594" w:rsidRPr="00467A92">
        <w:rPr>
          <w:rFonts w:ascii="Tahoma" w:eastAsia="Times New Roman" w:hAnsi="Tahoma" w:cs="Tahoma"/>
          <w:lang w:eastAsia="ru-RU"/>
        </w:rPr>
        <w:t xml:space="preserve">the elaboration of a prioritised list </w:t>
      </w:r>
      <w:r w:rsidR="00FD73B3" w:rsidRPr="00467A92">
        <w:rPr>
          <w:rFonts w:ascii="Tahoma" w:eastAsia="Times New Roman" w:hAnsi="Tahoma" w:cs="Tahoma"/>
          <w:lang w:eastAsia="ru-RU"/>
        </w:rPr>
        <w:t xml:space="preserve">(with deadlines) </w:t>
      </w:r>
      <w:r w:rsidR="00FA6594" w:rsidRPr="00467A92">
        <w:rPr>
          <w:rFonts w:ascii="Tahoma" w:eastAsia="Times New Roman" w:hAnsi="Tahoma" w:cs="Tahoma"/>
          <w:lang w:eastAsia="ru-RU"/>
        </w:rPr>
        <w:t xml:space="preserve">of </w:t>
      </w:r>
      <w:r w:rsidR="00CB4612" w:rsidRPr="00467A92">
        <w:rPr>
          <w:rFonts w:ascii="Tahoma" w:eastAsia="Times New Roman" w:hAnsi="Tahoma" w:cs="Tahoma"/>
          <w:lang w:eastAsia="ru-RU"/>
        </w:rPr>
        <w:t xml:space="preserve">legal provisions </w:t>
      </w:r>
      <w:r w:rsidR="00FA6594" w:rsidRPr="00467A92">
        <w:rPr>
          <w:rFonts w:ascii="Tahoma" w:eastAsia="Times New Roman" w:hAnsi="Tahoma" w:cs="Tahoma"/>
          <w:lang w:eastAsia="ru-RU"/>
        </w:rPr>
        <w:t>to be developed</w:t>
      </w:r>
      <w:r w:rsidR="00FA6594" w:rsidRPr="0008440B">
        <w:rPr>
          <w:rFonts w:ascii="Tahoma" w:eastAsia="Times New Roman" w:hAnsi="Tahoma" w:cs="Tahoma"/>
          <w:lang w:eastAsia="ru-RU"/>
        </w:rPr>
        <w:t xml:space="preserve"> or amended to ensure full </w:t>
      </w:r>
      <w:r w:rsidR="00677B58" w:rsidRPr="0008440B">
        <w:rPr>
          <w:rFonts w:ascii="Tahoma" w:eastAsia="Times New Roman" w:hAnsi="Tahoma" w:cs="Tahoma"/>
          <w:lang w:eastAsia="ru-RU"/>
        </w:rPr>
        <w:t>alignment with the EU requirements</w:t>
      </w:r>
      <w:r w:rsidR="00FA6594" w:rsidRPr="0008440B">
        <w:rPr>
          <w:rFonts w:ascii="Tahoma" w:eastAsia="Times New Roman" w:hAnsi="Tahoma" w:cs="Tahoma"/>
          <w:lang w:eastAsia="ru-RU"/>
        </w:rPr>
        <w:t>;</w:t>
      </w:r>
      <w:r w:rsidR="00677B58" w:rsidRPr="0008440B">
        <w:rPr>
          <w:rFonts w:ascii="Tahoma" w:eastAsia="Times New Roman" w:hAnsi="Tahoma" w:cs="Tahoma"/>
          <w:lang w:eastAsia="ru-RU"/>
        </w:rPr>
        <w:t xml:space="preserve"> </w:t>
      </w:r>
    </w:p>
    <w:p w14:paraId="5BB08EF0" w14:textId="0E631520" w:rsidR="00CB4612" w:rsidRPr="0008440B" w:rsidRDefault="00FD73B3" w:rsidP="00FA6594">
      <w:pPr>
        <w:pStyle w:val="Default"/>
        <w:numPr>
          <w:ilvl w:val="0"/>
          <w:numId w:val="21"/>
        </w:numPr>
        <w:spacing w:before="360" w:after="144"/>
        <w:jc w:val="both"/>
        <w:rPr>
          <w:rFonts w:ascii="Tahoma" w:eastAsia="Times New Roman" w:hAnsi="Tahoma" w:cs="Tahoma"/>
          <w:lang w:eastAsia="ru-RU"/>
        </w:rPr>
      </w:pPr>
      <w:r w:rsidRPr="0008440B">
        <w:rPr>
          <w:rFonts w:ascii="Tahoma" w:eastAsia="Times New Roman" w:hAnsi="Tahoma" w:cs="Tahoma"/>
          <w:color w:val="auto"/>
          <w:lang w:eastAsia="de-DE"/>
        </w:rPr>
        <w:t xml:space="preserve">Support development of legal provisions required for the full alignment with the </w:t>
      </w:r>
      <w:r w:rsidRPr="0008440B">
        <w:rPr>
          <w:rFonts w:ascii="Tahoma" w:eastAsia="Times New Roman" w:hAnsi="Tahoma" w:cs="Tahoma"/>
          <w:lang w:eastAsia="ru-RU"/>
        </w:rPr>
        <w:t xml:space="preserve">EU requirements following the priority list </w:t>
      </w:r>
      <w:r w:rsidRPr="00467A92">
        <w:rPr>
          <w:rFonts w:ascii="Tahoma" w:eastAsia="Times New Roman" w:hAnsi="Tahoma" w:cs="Tahoma"/>
          <w:lang w:eastAsia="ru-RU"/>
        </w:rPr>
        <w:t>(</w:t>
      </w:r>
      <w:r w:rsidR="00A004EE" w:rsidRPr="00467A92">
        <w:rPr>
          <w:rFonts w:ascii="Tahoma" w:eastAsia="Times New Roman" w:hAnsi="Tahoma" w:cs="Tahoma"/>
          <w:lang w:eastAsia="ru-RU"/>
        </w:rPr>
        <w:t>analysing draft regulations for compliance with EU law</w:t>
      </w:r>
      <w:r w:rsidRPr="0008440B">
        <w:rPr>
          <w:rFonts w:ascii="Tahoma" w:eastAsia="Times New Roman" w:hAnsi="Tahoma" w:cs="Tahoma"/>
          <w:lang w:eastAsia="ru-RU"/>
        </w:rPr>
        <w:t xml:space="preserve">, studies, information gathering, M&amp;E, reporting, </w:t>
      </w:r>
      <w:r w:rsidR="00A004EE" w:rsidRPr="00467A92">
        <w:rPr>
          <w:rFonts w:ascii="Tahoma" w:eastAsia="Times New Roman" w:hAnsi="Tahoma" w:cs="Tahoma"/>
          <w:lang w:eastAsia="ru-RU"/>
        </w:rPr>
        <w:t>preparing</w:t>
      </w:r>
      <w:r w:rsidR="00A004EE" w:rsidRPr="0008440B">
        <w:rPr>
          <w:rFonts w:ascii="Tahoma" w:eastAsia="Times New Roman" w:hAnsi="Tahoma" w:cs="Tahoma"/>
          <w:lang w:eastAsia="ru-RU"/>
        </w:rPr>
        <w:t xml:space="preserve"> </w:t>
      </w:r>
      <w:r w:rsidRPr="0008440B">
        <w:rPr>
          <w:rFonts w:ascii="Tahoma" w:eastAsia="Times New Roman" w:hAnsi="Tahoma" w:cs="Tahoma"/>
          <w:lang w:eastAsia="ru-RU"/>
        </w:rPr>
        <w:t>table</w:t>
      </w:r>
      <w:r w:rsidR="00A004EE" w:rsidRPr="00467A92">
        <w:rPr>
          <w:rFonts w:ascii="Tahoma" w:eastAsia="Times New Roman" w:hAnsi="Tahoma" w:cs="Tahoma"/>
          <w:lang w:eastAsia="ru-RU"/>
        </w:rPr>
        <w:t>s</w:t>
      </w:r>
      <w:r w:rsidRPr="0008440B">
        <w:rPr>
          <w:rFonts w:ascii="Tahoma" w:eastAsia="Times New Roman" w:hAnsi="Tahoma" w:cs="Tahoma"/>
          <w:lang w:eastAsia="ru-RU"/>
        </w:rPr>
        <w:t xml:space="preserve"> of compliance, etc.)</w:t>
      </w:r>
      <w:r w:rsidR="0054584E" w:rsidRPr="0008440B">
        <w:rPr>
          <w:rFonts w:ascii="Tahoma" w:eastAsia="Times New Roman" w:hAnsi="Tahoma" w:cs="Tahoma"/>
          <w:lang w:eastAsia="ru-RU"/>
        </w:rPr>
        <w:t>;</w:t>
      </w:r>
    </w:p>
    <w:p w14:paraId="7747BEFB" w14:textId="007B850D" w:rsidR="00FA6594" w:rsidRPr="00467A92" w:rsidRDefault="00BB3ECA" w:rsidP="00FA6594">
      <w:pPr>
        <w:pStyle w:val="Default"/>
        <w:numPr>
          <w:ilvl w:val="0"/>
          <w:numId w:val="21"/>
        </w:numPr>
        <w:spacing w:before="360" w:after="144"/>
        <w:jc w:val="both"/>
        <w:rPr>
          <w:rFonts w:ascii="Tahoma" w:eastAsia="Times New Roman" w:hAnsi="Tahoma" w:cs="Tahoma"/>
          <w:lang w:eastAsia="ru-RU"/>
        </w:rPr>
      </w:pPr>
      <w:r w:rsidRPr="00467A92">
        <w:rPr>
          <w:rFonts w:ascii="Tahoma" w:eastAsia="Times New Roman" w:hAnsi="Tahoma" w:cs="Tahoma"/>
          <w:lang w:eastAsia="ru-RU"/>
        </w:rPr>
        <w:t>Supporting the negotiation process with the European Union on Ukraine's accession to the European Union (organising meetings and dialogue with representatives of the European Commission's Directorates-General and agencies, exchanging letters, preparing reports and questionnaires)</w:t>
      </w:r>
      <w:r w:rsidR="0054584E" w:rsidRPr="00467A92">
        <w:rPr>
          <w:rFonts w:ascii="Tahoma" w:hAnsi="Tahoma" w:cs="Tahoma"/>
        </w:rPr>
        <w:t>;</w:t>
      </w:r>
    </w:p>
    <w:p w14:paraId="47AE49F5" w14:textId="24286724" w:rsidR="0054584E" w:rsidRPr="00467A92" w:rsidRDefault="0054584E" w:rsidP="00FA6594">
      <w:pPr>
        <w:pStyle w:val="Default"/>
        <w:numPr>
          <w:ilvl w:val="0"/>
          <w:numId w:val="21"/>
        </w:numPr>
        <w:spacing w:before="360" w:after="144"/>
        <w:jc w:val="both"/>
        <w:rPr>
          <w:rFonts w:ascii="Tahoma" w:eastAsia="Times New Roman" w:hAnsi="Tahoma" w:cs="Tahoma"/>
          <w:lang w:eastAsia="ru-RU"/>
        </w:rPr>
      </w:pPr>
      <w:r w:rsidRPr="0008440B">
        <w:rPr>
          <w:rFonts w:ascii="Tahoma" w:hAnsi="Tahoma" w:cs="Tahoma"/>
        </w:rPr>
        <w:t>Support coordination with international partners as</w:t>
      </w:r>
      <w:r w:rsidR="00BB3ECA" w:rsidRPr="0008440B">
        <w:rPr>
          <w:rFonts w:ascii="Tahoma" w:hAnsi="Tahoma" w:cs="Tahoma"/>
        </w:rPr>
        <w:t xml:space="preserve"> Organisation for Economic Co-operation and Development </w:t>
      </w:r>
      <w:r w:rsidR="00BB3ECA" w:rsidRPr="00467A92">
        <w:rPr>
          <w:rFonts w:ascii="Tahoma" w:hAnsi="Tahoma" w:cs="Tahoma"/>
        </w:rPr>
        <w:t>(OECD),</w:t>
      </w:r>
      <w:r w:rsidR="00BB3ECA" w:rsidRPr="0008440B">
        <w:rPr>
          <w:rFonts w:ascii="Tahoma" w:hAnsi="Tahoma" w:cs="Tahoma"/>
        </w:rPr>
        <w:t xml:space="preserve"> Parliamentary Assembly of the Council of Europe, </w:t>
      </w:r>
      <w:r w:rsidR="00BB3ECA" w:rsidRPr="00467A92">
        <w:rPr>
          <w:rFonts w:ascii="Tahoma" w:hAnsi="Tahoma" w:cs="Tahoma"/>
        </w:rPr>
        <w:t>(PACE),</w:t>
      </w:r>
      <w:r w:rsidRPr="0008440B">
        <w:rPr>
          <w:rFonts w:ascii="Tahoma" w:hAnsi="Tahoma" w:cs="Tahoma"/>
        </w:rPr>
        <w:t xml:space="preserve"> WHO and others.</w:t>
      </w:r>
    </w:p>
    <w:p w14:paraId="62F83C0C" w14:textId="07979787" w:rsidR="00F5345D" w:rsidRPr="00D6776F" w:rsidRDefault="00F5345D" w:rsidP="00F5345D">
      <w:pPr>
        <w:pStyle w:val="Default"/>
        <w:spacing w:before="360" w:after="144"/>
        <w:jc w:val="both"/>
        <w:rPr>
          <w:rFonts w:ascii="Tahoma" w:hAnsi="Tahoma" w:cs="Tahoma"/>
          <w:b/>
          <w:bCs/>
        </w:rPr>
      </w:pPr>
      <w:r w:rsidRPr="00D6776F">
        <w:rPr>
          <w:rFonts w:ascii="Tahoma" w:hAnsi="Tahoma" w:cs="Tahoma"/>
          <w:b/>
          <w:bCs/>
        </w:rPr>
        <w:t>2.4. Deliverables</w:t>
      </w:r>
    </w:p>
    <w:p w14:paraId="5ED4098B" w14:textId="39567F61" w:rsidR="0008440B" w:rsidRPr="00467A92" w:rsidRDefault="0008440B" w:rsidP="00467A92">
      <w:pPr>
        <w:pStyle w:val="Default"/>
        <w:numPr>
          <w:ilvl w:val="0"/>
          <w:numId w:val="25"/>
        </w:numPr>
        <w:spacing w:after="240"/>
        <w:jc w:val="both"/>
        <w:rPr>
          <w:rFonts w:ascii="Tahoma" w:hAnsi="Tahoma" w:cs="Tahoma"/>
        </w:rPr>
      </w:pPr>
      <w:r w:rsidRPr="00467A92">
        <w:rPr>
          <w:rFonts w:ascii="Tahoma" w:hAnsi="Tahoma" w:cs="Tahoma"/>
        </w:rPr>
        <w:t>Agreement on priorities and work plan, outlining which legal framework(s) and regulation(s) will be prioritised for completion during the Project period, and which legal frameworks and regulations will be initiated but not necessarily reach completion</w:t>
      </w:r>
      <w:r w:rsidR="00A409A5">
        <w:rPr>
          <w:rFonts w:ascii="Tahoma" w:hAnsi="Tahoma" w:cs="Tahoma"/>
          <w:lang w:val="uk-UA"/>
        </w:rPr>
        <w:t xml:space="preserve"> </w:t>
      </w:r>
      <w:r w:rsidR="00A409A5" w:rsidRPr="00A409A5">
        <w:rPr>
          <w:rFonts w:ascii="Tahoma" w:hAnsi="Tahoma" w:cs="Tahoma"/>
          <w:color w:val="000000" w:themeColor="text1"/>
          <w:lang w:val="uk-UA"/>
        </w:rPr>
        <w:t>during the period of project implementation</w:t>
      </w:r>
      <w:r w:rsidRPr="00467A92">
        <w:rPr>
          <w:rFonts w:ascii="Tahoma" w:hAnsi="Tahoma" w:cs="Tahoma"/>
        </w:rPr>
        <w:t>;</w:t>
      </w:r>
    </w:p>
    <w:p w14:paraId="2BEB202F" w14:textId="359C7148" w:rsidR="0008440B" w:rsidRPr="00054E23" w:rsidRDefault="0008440B" w:rsidP="00467A92">
      <w:pPr>
        <w:pStyle w:val="Default"/>
        <w:numPr>
          <w:ilvl w:val="0"/>
          <w:numId w:val="25"/>
        </w:numPr>
        <w:spacing w:after="240"/>
        <w:jc w:val="both"/>
        <w:rPr>
          <w:rFonts w:ascii="Tahoma" w:hAnsi="Tahoma" w:cs="Tahoma"/>
          <w:color w:val="auto"/>
        </w:rPr>
      </w:pPr>
      <w:r w:rsidRPr="00467A92">
        <w:rPr>
          <w:rFonts w:ascii="Tahoma" w:hAnsi="Tahoma" w:cs="Tahoma"/>
        </w:rPr>
        <w:t>Training needs identified and priorities for trainings, seminars and workshops ident</w:t>
      </w:r>
      <w:r w:rsidRPr="00054E23">
        <w:rPr>
          <w:rFonts w:ascii="Tahoma" w:hAnsi="Tahoma" w:cs="Tahoma"/>
          <w:color w:val="auto"/>
        </w:rPr>
        <w:t>ified and agreed with MoH</w:t>
      </w:r>
      <w:r w:rsidR="00A409A5" w:rsidRPr="00054E23">
        <w:rPr>
          <w:rFonts w:ascii="Tahoma" w:hAnsi="Tahoma" w:cs="Tahoma"/>
          <w:color w:val="auto"/>
          <w:lang w:val="uk-UA"/>
        </w:rPr>
        <w:t>, and support is provided in organising trainings, seminars, workshops, study visits, and distributi</w:t>
      </w:r>
      <w:r w:rsidR="00D15E59" w:rsidRPr="00054E23">
        <w:rPr>
          <w:rFonts w:ascii="Tahoma" w:hAnsi="Tahoma" w:cs="Tahoma"/>
          <w:color w:val="auto"/>
          <w:lang w:val="en-US"/>
        </w:rPr>
        <w:t>ng</w:t>
      </w:r>
      <w:r w:rsidR="00A409A5" w:rsidRPr="00054E23">
        <w:rPr>
          <w:rFonts w:ascii="Tahoma" w:hAnsi="Tahoma" w:cs="Tahoma"/>
          <w:color w:val="auto"/>
          <w:lang w:val="uk-UA"/>
        </w:rPr>
        <w:t xml:space="preserve"> of relevant training materials;</w:t>
      </w:r>
    </w:p>
    <w:p w14:paraId="6BB8B346" w14:textId="17BF80C1" w:rsidR="0008440B" w:rsidRPr="00054E23" w:rsidRDefault="00D15E59" w:rsidP="00467A92">
      <w:pPr>
        <w:pStyle w:val="Default"/>
        <w:numPr>
          <w:ilvl w:val="0"/>
          <w:numId w:val="25"/>
        </w:numPr>
        <w:spacing w:after="240"/>
        <w:jc w:val="both"/>
        <w:rPr>
          <w:rFonts w:ascii="Tahoma" w:hAnsi="Tahoma" w:cs="Tahoma"/>
          <w:color w:val="auto"/>
        </w:rPr>
      </w:pPr>
      <w:r w:rsidRPr="00054E23">
        <w:rPr>
          <w:rFonts w:ascii="Tahoma" w:hAnsi="Tahoma" w:cs="Tahoma"/>
          <w:color w:val="auto"/>
        </w:rPr>
        <w:t>First drafts of regulatory acts</w:t>
      </w:r>
    </w:p>
    <w:p w14:paraId="5418B565" w14:textId="10C3880C" w:rsidR="0008440B" w:rsidRPr="00054E23" w:rsidRDefault="0008440B" w:rsidP="00467A92">
      <w:pPr>
        <w:pStyle w:val="Default"/>
        <w:numPr>
          <w:ilvl w:val="0"/>
          <w:numId w:val="25"/>
        </w:numPr>
        <w:spacing w:after="240"/>
        <w:jc w:val="both"/>
        <w:rPr>
          <w:rFonts w:ascii="Tahoma" w:hAnsi="Tahoma" w:cs="Tahoma"/>
          <w:color w:val="auto"/>
        </w:rPr>
      </w:pPr>
      <w:r w:rsidRPr="00054E23">
        <w:rPr>
          <w:rFonts w:ascii="Tahoma" w:hAnsi="Tahoma" w:cs="Tahoma"/>
          <w:color w:val="auto"/>
        </w:rPr>
        <w:t xml:space="preserve">Final drafts of </w:t>
      </w:r>
      <w:r w:rsidR="00D15E59" w:rsidRPr="00054E23">
        <w:rPr>
          <w:rFonts w:ascii="Tahoma" w:hAnsi="Tahoma" w:cs="Tahoma"/>
          <w:color w:val="auto"/>
        </w:rPr>
        <w:t>regulatory acts</w:t>
      </w:r>
    </w:p>
    <w:p w14:paraId="0051BA15" w14:textId="3F5B6E05" w:rsidR="0008440B" w:rsidRPr="00054E23" w:rsidRDefault="0008440B" w:rsidP="00467A92">
      <w:pPr>
        <w:pStyle w:val="Default"/>
        <w:numPr>
          <w:ilvl w:val="0"/>
          <w:numId w:val="25"/>
        </w:numPr>
        <w:spacing w:after="240"/>
        <w:jc w:val="both"/>
        <w:rPr>
          <w:rFonts w:ascii="Tahoma" w:hAnsi="Tahoma" w:cs="Tahoma"/>
          <w:color w:val="auto"/>
        </w:rPr>
      </w:pPr>
      <w:r w:rsidRPr="00054E23">
        <w:rPr>
          <w:rFonts w:ascii="Tahoma" w:hAnsi="Tahoma" w:cs="Tahoma"/>
          <w:color w:val="auto"/>
        </w:rPr>
        <w:lastRenderedPageBreak/>
        <w:t>Prioritised</w:t>
      </w:r>
      <w:r w:rsidR="00054E23" w:rsidRPr="00054E23">
        <w:rPr>
          <w:rFonts w:ascii="Tahoma" w:hAnsi="Tahoma" w:cs="Tahoma"/>
          <w:color w:val="auto"/>
        </w:rPr>
        <w:t xml:space="preserve"> </w:t>
      </w:r>
      <w:r w:rsidR="00D15E59" w:rsidRPr="00054E23">
        <w:rPr>
          <w:rFonts w:ascii="Tahoma" w:hAnsi="Tahoma" w:cs="Tahoma"/>
          <w:color w:val="auto"/>
        </w:rPr>
        <w:t xml:space="preserve">regulatory acts </w:t>
      </w:r>
      <w:r w:rsidRPr="00054E23">
        <w:rPr>
          <w:rFonts w:ascii="Tahoma" w:hAnsi="Tahoma" w:cs="Tahoma"/>
          <w:color w:val="auto"/>
        </w:rPr>
        <w:t>approved (or in decision making process) by</w:t>
      </w:r>
      <w:r w:rsidR="00054E23" w:rsidRPr="00054E23">
        <w:rPr>
          <w:rFonts w:ascii="Tahoma" w:hAnsi="Tahoma" w:cs="Tahoma"/>
          <w:color w:val="auto"/>
        </w:rPr>
        <w:t xml:space="preserve"> </w:t>
      </w:r>
      <w:r w:rsidRPr="00054E23">
        <w:rPr>
          <w:rFonts w:ascii="Tahoma" w:hAnsi="Tahoma" w:cs="Tahoma"/>
          <w:color w:val="auto"/>
        </w:rPr>
        <w:t>relevant regulatory authority.</w:t>
      </w:r>
    </w:p>
    <w:p w14:paraId="3E8917BA" w14:textId="27D8049C" w:rsidR="0008440B" w:rsidRPr="00054E23" w:rsidRDefault="0008440B" w:rsidP="00467A92">
      <w:pPr>
        <w:pStyle w:val="Default"/>
        <w:numPr>
          <w:ilvl w:val="0"/>
          <w:numId w:val="25"/>
        </w:numPr>
        <w:spacing w:after="240"/>
        <w:rPr>
          <w:rFonts w:ascii="Tahoma" w:hAnsi="Tahoma" w:cs="Tahoma"/>
          <w:color w:val="auto"/>
        </w:rPr>
      </w:pPr>
      <w:r w:rsidRPr="00054E23">
        <w:rPr>
          <w:rFonts w:ascii="Tahoma" w:hAnsi="Tahoma" w:cs="Tahoma"/>
          <w:color w:val="auto"/>
        </w:rPr>
        <w:t xml:space="preserve">Communication sessions and meetings conducted, information </w:t>
      </w:r>
      <w:r w:rsidR="00D15E59" w:rsidRPr="00054E23">
        <w:rPr>
          <w:rFonts w:ascii="Tahoma" w:hAnsi="Tahoma" w:cs="Tahoma"/>
          <w:color w:val="auto"/>
        </w:rPr>
        <w:t xml:space="preserve">analytical </w:t>
      </w:r>
      <w:r w:rsidRPr="00054E23">
        <w:rPr>
          <w:rFonts w:ascii="Tahoma" w:hAnsi="Tahoma" w:cs="Tahoma"/>
          <w:color w:val="auto"/>
        </w:rPr>
        <w:t>material</w:t>
      </w:r>
      <w:r w:rsidR="00D15E59" w:rsidRPr="00054E23">
        <w:rPr>
          <w:rFonts w:ascii="Tahoma" w:hAnsi="Tahoma" w:cs="Tahoma"/>
          <w:color w:val="auto"/>
        </w:rPr>
        <w:t xml:space="preserve">s </w:t>
      </w:r>
      <w:r w:rsidRPr="00054E23">
        <w:rPr>
          <w:rFonts w:ascii="Tahoma" w:hAnsi="Tahoma" w:cs="Tahoma"/>
          <w:color w:val="auto"/>
        </w:rPr>
        <w:t>produced;</w:t>
      </w:r>
    </w:p>
    <w:p w14:paraId="2A505C11" w14:textId="40FB06B2" w:rsidR="0008440B" w:rsidRPr="00054E23" w:rsidRDefault="007C0E5D" w:rsidP="00467A92">
      <w:pPr>
        <w:pStyle w:val="ab"/>
        <w:numPr>
          <w:ilvl w:val="0"/>
          <w:numId w:val="25"/>
        </w:numPr>
        <w:autoSpaceDE w:val="0"/>
        <w:autoSpaceDN w:val="0"/>
        <w:adjustRightInd w:val="0"/>
        <w:spacing w:after="240"/>
        <w:jc w:val="both"/>
        <w:rPr>
          <w:rFonts w:ascii="Tahoma" w:hAnsi="Tahoma"/>
          <w:sz w:val="24"/>
          <w:szCs w:val="24"/>
        </w:rPr>
      </w:pPr>
      <w:r w:rsidRPr="00054E23">
        <w:rPr>
          <w:rFonts w:ascii="Tahoma" w:hAnsi="Tahoma"/>
          <w:sz w:val="24"/>
          <w:szCs w:val="24"/>
        </w:rPr>
        <w:t>Assist in the organisation of study visits</w:t>
      </w:r>
      <w:r w:rsidR="0008440B" w:rsidRPr="00054E23">
        <w:rPr>
          <w:rFonts w:ascii="Tahoma" w:hAnsi="Tahoma"/>
          <w:sz w:val="24"/>
          <w:szCs w:val="24"/>
        </w:rPr>
        <w:t>;</w:t>
      </w:r>
    </w:p>
    <w:p w14:paraId="717128AD" w14:textId="77777777" w:rsidR="0008440B" w:rsidRPr="00467A92" w:rsidRDefault="0008440B" w:rsidP="00467A92">
      <w:pPr>
        <w:pStyle w:val="ab"/>
        <w:numPr>
          <w:ilvl w:val="0"/>
          <w:numId w:val="25"/>
        </w:numPr>
        <w:autoSpaceDE w:val="0"/>
        <w:autoSpaceDN w:val="0"/>
        <w:adjustRightInd w:val="0"/>
        <w:spacing w:after="240"/>
        <w:jc w:val="both"/>
        <w:rPr>
          <w:rFonts w:ascii="Tahoma" w:hAnsi="Tahoma"/>
          <w:sz w:val="24"/>
          <w:szCs w:val="24"/>
        </w:rPr>
      </w:pPr>
      <w:r w:rsidRPr="00467A92">
        <w:rPr>
          <w:rFonts w:ascii="Tahoma" w:hAnsi="Tahoma"/>
          <w:sz w:val="24"/>
          <w:szCs w:val="24"/>
        </w:rPr>
        <w:t>Report on the current level of collaboration between Ukraine and ECDC, DG-Santé and other relevant public health entities, the opportunities for the extensive communication and collaboration and modalities;</w:t>
      </w:r>
    </w:p>
    <w:p w14:paraId="5AA398AC" w14:textId="0C4127A9" w:rsidR="0008440B" w:rsidRPr="00467A92" w:rsidRDefault="0008440B" w:rsidP="00467A92">
      <w:pPr>
        <w:pStyle w:val="ab"/>
        <w:numPr>
          <w:ilvl w:val="0"/>
          <w:numId w:val="25"/>
        </w:numPr>
        <w:autoSpaceDE w:val="0"/>
        <w:autoSpaceDN w:val="0"/>
        <w:adjustRightInd w:val="0"/>
        <w:spacing w:after="240"/>
        <w:jc w:val="both"/>
        <w:rPr>
          <w:rFonts w:ascii="Tahoma" w:hAnsi="Tahoma"/>
          <w:sz w:val="24"/>
          <w:szCs w:val="24"/>
        </w:rPr>
      </w:pPr>
      <w:r w:rsidRPr="00467A92">
        <w:rPr>
          <w:rFonts w:ascii="Tahoma" w:hAnsi="Tahoma"/>
          <w:sz w:val="24"/>
          <w:szCs w:val="24"/>
        </w:rPr>
        <w:t>Meetings between officials from Ukraine and ECDC, DG-Santé and other relevant EU-public health entities conducted,</w:t>
      </w:r>
    </w:p>
    <w:p w14:paraId="7B43D57E" w14:textId="77777777" w:rsidR="00E74CB7" w:rsidRPr="0008440B" w:rsidRDefault="00E74CB7" w:rsidP="0008440B">
      <w:pPr>
        <w:pStyle w:val="ab"/>
        <w:rPr>
          <w:bCs/>
          <w:color w:val="000000"/>
          <w:sz w:val="24"/>
          <w:szCs w:val="24"/>
        </w:rPr>
      </w:pPr>
    </w:p>
    <w:p w14:paraId="158ED2EF" w14:textId="77777777" w:rsidR="00EE45BF" w:rsidRPr="0008440B" w:rsidRDefault="00EE45BF" w:rsidP="00E74CB7">
      <w:pPr>
        <w:jc w:val="both"/>
        <w:rPr>
          <w:bCs/>
          <w:color w:val="000000"/>
          <w:sz w:val="24"/>
          <w:szCs w:val="24"/>
          <w:lang w:val="en-GB"/>
        </w:rPr>
      </w:pPr>
    </w:p>
    <w:p w14:paraId="43838AAA" w14:textId="133A3894" w:rsidR="00BD2765" w:rsidRPr="0008440B" w:rsidRDefault="00BD2765" w:rsidP="00D475D2">
      <w:pPr>
        <w:rPr>
          <w:b/>
          <w:bCs/>
          <w:color w:val="000000"/>
          <w:sz w:val="24"/>
          <w:szCs w:val="24"/>
          <w:lang w:val="en-GB"/>
        </w:rPr>
      </w:pPr>
      <w:r w:rsidRPr="0008440B">
        <w:rPr>
          <w:b/>
          <w:bCs/>
          <w:color w:val="000000"/>
          <w:sz w:val="24"/>
          <w:szCs w:val="24"/>
          <w:lang w:val="en-GB"/>
        </w:rPr>
        <w:t>3.</w:t>
      </w:r>
      <w:r w:rsidRPr="0008440B">
        <w:rPr>
          <w:b/>
          <w:bCs/>
          <w:color w:val="000000"/>
          <w:sz w:val="24"/>
          <w:szCs w:val="24"/>
          <w:lang w:val="en-GB"/>
        </w:rPr>
        <w:tab/>
      </w:r>
      <w:r w:rsidR="00147E4E" w:rsidRPr="0008440B">
        <w:rPr>
          <w:b/>
          <w:bCs/>
          <w:color w:val="000000"/>
          <w:sz w:val="24"/>
          <w:szCs w:val="24"/>
          <w:lang w:val="en-GB"/>
        </w:rPr>
        <w:t xml:space="preserve">BENEFICIARY, </w:t>
      </w:r>
      <w:r w:rsidRPr="0008440B">
        <w:rPr>
          <w:b/>
          <w:bCs/>
          <w:color w:val="000000"/>
          <w:sz w:val="24"/>
          <w:szCs w:val="24"/>
          <w:lang w:val="en-GB"/>
        </w:rPr>
        <w:t>LOGISTICS AND TIMING</w:t>
      </w:r>
    </w:p>
    <w:p w14:paraId="401E03DB" w14:textId="122A8C22" w:rsidR="00147E4E" w:rsidRPr="0008440B" w:rsidRDefault="00147E4E" w:rsidP="00147E4E">
      <w:pPr>
        <w:pStyle w:val="Default"/>
        <w:spacing w:before="360" w:after="144"/>
        <w:jc w:val="both"/>
        <w:rPr>
          <w:rFonts w:ascii="Tahoma" w:eastAsia="Times New Roman" w:hAnsi="Tahoma" w:cs="Tahoma"/>
          <w:color w:val="auto"/>
          <w:lang w:eastAsia="de-DE"/>
        </w:rPr>
      </w:pPr>
      <w:r w:rsidRPr="0008440B">
        <w:rPr>
          <w:rFonts w:ascii="Tahoma" w:hAnsi="Tahoma" w:cs="Tahoma"/>
          <w:b/>
        </w:rPr>
        <w:t>3.1. Beneficiary</w:t>
      </w:r>
    </w:p>
    <w:p w14:paraId="5A86BECD" w14:textId="2D1396F7" w:rsidR="00147E4E" w:rsidRPr="0008440B" w:rsidRDefault="00147E4E" w:rsidP="00147E4E">
      <w:pPr>
        <w:jc w:val="both"/>
        <w:rPr>
          <w:rFonts w:eastAsia="Calibri"/>
          <w:strike/>
          <w:color w:val="000000"/>
          <w:sz w:val="24"/>
          <w:szCs w:val="24"/>
          <w:lang w:val="en-GB"/>
        </w:rPr>
      </w:pPr>
      <w:r w:rsidRPr="0008440B">
        <w:rPr>
          <w:rFonts w:eastAsia="Calibri"/>
          <w:color w:val="000000"/>
          <w:sz w:val="24"/>
          <w:szCs w:val="24"/>
          <w:lang w:val="en-GB"/>
        </w:rPr>
        <w:t>The overall beneficiary of the support described in this ToR is the population in Ukraine whereas the direct recipient is</w:t>
      </w:r>
      <w:r w:rsidR="00EE45BF" w:rsidRPr="0008440B">
        <w:rPr>
          <w:rFonts w:eastAsia="Calibri"/>
          <w:color w:val="000000"/>
          <w:sz w:val="24"/>
          <w:szCs w:val="24"/>
          <w:lang w:val="en-GB"/>
        </w:rPr>
        <w:t xml:space="preserve"> </w:t>
      </w:r>
      <w:r w:rsidRPr="0008440B">
        <w:rPr>
          <w:rFonts w:eastAsia="Calibri"/>
          <w:color w:val="000000"/>
          <w:sz w:val="24"/>
          <w:szCs w:val="24"/>
          <w:lang w:val="en-GB"/>
        </w:rPr>
        <w:t>the Ministry of Health of Ukraine</w:t>
      </w:r>
      <w:r w:rsidR="0011472A" w:rsidRPr="0008440B">
        <w:rPr>
          <w:rFonts w:eastAsia="Calibri"/>
          <w:strike/>
          <w:color w:val="000000"/>
          <w:sz w:val="24"/>
          <w:szCs w:val="24"/>
          <w:lang w:val="en-GB"/>
        </w:rPr>
        <w:t>.</w:t>
      </w:r>
    </w:p>
    <w:p w14:paraId="2EE04E51" w14:textId="77777777" w:rsidR="00147E4E" w:rsidRPr="0008440B" w:rsidRDefault="00147E4E" w:rsidP="00D475D2">
      <w:pPr>
        <w:rPr>
          <w:b/>
          <w:bCs/>
          <w:color w:val="000000"/>
          <w:sz w:val="24"/>
          <w:szCs w:val="24"/>
          <w:lang w:val="en-GB"/>
        </w:rPr>
      </w:pPr>
    </w:p>
    <w:p w14:paraId="286B6364" w14:textId="37552CFF" w:rsidR="00BD2765" w:rsidRPr="0008440B" w:rsidRDefault="00BD2765" w:rsidP="00D475D2">
      <w:pPr>
        <w:spacing w:before="120" w:after="120"/>
        <w:rPr>
          <w:b/>
          <w:bCs/>
          <w:color w:val="000000"/>
          <w:sz w:val="24"/>
          <w:szCs w:val="24"/>
          <w:lang w:val="en-GB"/>
        </w:rPr>
      </w:pPr>
      <w:bookmarkStart w:id="4" w:name="_Toc304264279"/>
      <w:bookmarkEnd w:id="4"/>
      <w:r w:rsidRPr="0008440B">
        <w:rPr>
          <w:b/>
          <w:bCs/>
          <w:color w:val="000000"/>
          <w:sz w:val="24"/>
          <w:szCs w:val="24"/>
          <w:lang w:val="en-GB"/>
        </w:rPr>
        <w:t>3.</w:t>
      </w:r>
      <w:r w:rsidR="00147E4E" w:rsidRPr="0008440B">
        <w:rPr>
          <w:b/>
          <w:bCs/>
          <w:color w:val="000000"/>
          <w:sz w:val="24"/>
          <w:szCs w:val="24"/>
          <w:lang w:val="en-GB"/>
        </w:rPr>
        <w:t>2</w:t>
      </w:r>
      <w:r w:rsidR="004A56A2" w:rsidRPr="0008440B">
        <w:rPr>
          <w:b/>
          <w:bCs/>
          <w:color w:val="000000"/>
          <w:sz w:val="24"/>
          <w:szCs w:val="24"/>
          <w:lang w:val="en-GB"/>
        </w:rPr>
        <w:t xml:space="preserve">. </w:t>
      </w:r>
      <w:r w:rsidRPr="0008440B">
        <w:rPr>
          <w:b/>
          <w:bCs/>
          <w:color w:val="000000"/>
          <w:sz w:val="24"/>
          <w:szCs w:val="24"/>
          <w:lang w:val="en-GB"/>
        </w:rPr>
        <w:t>Location</w:t>
      </w:r>
    </w:p>
    <w:p w14:paraId="3AD0BFAE" w14:textId="6C8056B3" w:rsidR="00BD2765" w:rsidRPr="0008440B" w:rsidRDefault="00677B58" w:rsidP="00D475D2">
      <w:pPr>
        <w:spacing w:after="120"/>
        <w:rPr>
          <w:bCs/>
          <w:color w:val="000000"/>
          <w:sz w:val="24"/>
          <w:szCs w:val="24"/>
          <w:lang w:val="en-GB"/>
        </w:rPr>
      </w:pPr>
      <w:r w:rsidRPr="0008440B">
        <w:rPr>
          <w:bCs/>
          <w:color w:val="000000"/>
          <w:sz w:val="24"/>
          <w:szCs w:val="24"/>
          <w:lang w:val="en-GB"/>
        </w:rPr>
        <w:t>Ministry of Health of Ukraine,</w:t>
      </w:r>
      <w:r w:rsidR="00FC062D" w:rsidRPr="0008440B">
        <w:rPr>
          <w:bCs/>
          <w:color w:val="000000"/>
          <w:sz w:val="24"/>
          <w:szCs w:val="24"/>
          <w:lang w:val="en-GB"/>
        </w:rPr>
        <w:t xml:space="preserve"> </w:t>
      </w:r>
      <w:r w:rsidR="00BD2765" w:rsidRPr="0008440B">
        <w:rPr>
          <w:bCs/>
          <w:color w:val="000000"/>
          <w:sz w:val="24"/>
          <w:szCs w:val="24"/>
          <w:lang w:val="en-GB"/>
        </w:rPr>
        <w:t>Kyiv, Ukraine.</w:t>
      </w:r>
      <w:r w:rsidR="00F5345D" w:rsidRPr="0008440B">
        <w:rPr>
          <w:bCs/>
          <w:color w:val="000000"/>
          <w:sz w:val="24"/>
          <w:szCs w:val="24"/>
          <w:lang w:val="en-GB"/>
        </w:rPr>
        <w:t xml:space="preserve"> (fulltime onsite)</w:t>
      </w:r>
    </w:p>
    <w:p w14:paraId="75565392" w14:textId="3742432F" w:rsidR="00BD2765" w:rsidRPr="0008440B" w:rsidRDefault="00BD2765" w:rsidP="00D475D2">
      <w:pPr>
        <w:spacing w:before="360" w:after="120"/>
        <w:rPr>
          <w:b/>
          <w:bCs/>
          <w:color w:val="000000"/>
          <w:sz w:val="24"/>
          <w:szCs w:val="24"/>
          <w:lang w:val="en-GB"/>
        </w:rPr>
      </w:pPr>
      <w:bookmarkStart w:id="5" w:name="_Toc304264280"/>
      <w:bookmarkEnd w:id="5"/>
      <w:r w:rsidRPr="0008440B">
        <w:rPr>
          <w:b/>
          <w:bCs/>
          <w:color w:val="000000"/>
          <w:sz w:val="24"/>
          <w:szCs w:val="24"/>
          <w:lang w:val="en-GB"/>
        </w:rPr>
        <w:t>3.</w:t>
      </w:r>
      <w:r w:rsidR="00147E4E" w:rsidRPr="0008440B">
        <w:rPr>
          <w:b/>
          <w:bCs/>
          <w:color w:val="000000"/>
          <w:sz w:val="24"/>
          <w:szCs w:val="24"/>
          <w:lang w:val="en-GB"/>
        </w:rPr>
        <w:t>3</w:t>
      </w:r>
      <w:r w:rsidR="004A56A2" w:rsidRPr="0008440B">
        <w:rPr>
          <w:b/>
          <w:bCs/>
          <w:color w:val="000000"/>
          <w:sz w:val="24"/>
          <w:szCs w:val="24"/>
          <w:lang w:val="en-GB"/>
        </w:rPr>
        <w:t xml:space="preserve">. </w:t>
      </w:r>
      <w:r w:rsidRPr="0008440B">
        <w:rPr>
          <w:b/>
          <w:bCs/>
          <w:color w:val="000000"/>
          <w:sz w:val="24"/>
          <w:szCs w:val="24"/>
          <w:lang w:val="en-GB"/>
        </w:rPr>
        <w:t>Commencement date and duration</w:t>
      </w:r>
    </w:p>
    <w:p w14:paraId="32755737" w14:textId="4A30CD0B" w:rsidR="00EE45BF" w:rsidRPr="0008440B" w:rsidRDefault="00BD2765" w:rsidP="00D475D2">
      <w:pPr>
        <w:spacing w:after="120"/>
        <w:jc w:val="both"/>
        <w:rPr>
          <w:color w:val="000000"/>
          <w:sz w:val="24"/>
          <w:szCs w:val="24"/>
          <w:lang w:val="en-GB"/>
        </w:rPr>
      </w:pPr>
      <w:r w:rsidRPr="0008440B">
        <w:rPr>
          <w:color w:val="000000"/>
          <w:sz w:val="24"/>
          <w:szCs w:val="24"/>
          <w:lang w:val="en-GB"/>
        </w:rPr>
        <w:t xml:space="preserve">The assignment is expected to start by </w:t>
      </w:r>
      <w:r w:rsidR="00C15ACA" w:rsidRPr="0008440B">
        <w:rPr>
          <w:color w:val="000000"/>
          <w:sz w:val="24"/>
          <w:szCs w:val="24"/>
          <w:lang w:val="en-GB"/>
        </w:rPr>
        <w:t xml:space="preserve">01 January 2024 and to </w:t>
      </w:r>
      <w:r w:rsidR="00677B58" w:rsidRPr="0008440B">
        <w:rPr>
          <w:color w:val="000000"/>
          <w:sz w:val="24"/>
          <w:szCs w:val="24"/>
          <w:lang w:val="en-GB"/>
        </w:rPr>
        <w:t xml:space="preserve">12 </w:t>
      </w:r>
      <w:r w:rsidR="00C15ACA" w:rsidRPr="0008440B">
        <w:rPr>
          <w:color w:val="000000"/>
          <w:sz w:val="24"/>
          <w:szCs w:val="24"/>
          <w:lang w:val="en-GB"/>
        </w:rPr>
        <w:t xml:space="preserve">May 2025 up to a </w:t>
      </w:r>
      <w:r w:rsidR="00EE45BF" w:rsidRPr="0008440B">
        <w:rPr>
          <w:color w:val="000000"/>
          <w:sz w:val="24"/>
          <w:szCs w:val="24"/>
          <w:lang w:val="en-GB"/>
        </w:rPr>
        <w:t>maximum</w:t>
      </w:r>
      <w:r w:rsidR="00C15ACA" w:rsidRPr="0008440B">
        <w:rPr>
          <w:color w:val="000000"/>
          <w:sz w:val="24"/>
          <w:szCs w:val="24"/>
          <w:lang w:val="en-GB"/>
        </w:rPr>
        <w:t xml:space="preserve"> of 330 working days. </w:t>
      </w:r>
      <w:bookmarkStart w:id="6" w:name="_Toc304264281"/>
      <w:bookmarkEnd w:id="6"/>
    </w:p>
    <w:p w14:paraId="41014982" w14:textId="77777777" w:rsidR="00E74CB7" w:rsidRPr="0008440B" w:rsidRDefault="00E74CB7" w:rsidP="00D475D2">
      <w:pPr>
        <w:spacing w:after="120"/>
        <w:jc w:val="both"/>
        <w:rPr>
          <w:color w:val="000000"/>
          <w:sz w:val="24"/>
          <w:szCs w:val="24"/>
          <w:lang w:val="en-GB"/>
        </w:rPr>
      </w:pPr>
    </w:p>
    <w:p w14:paraId="487FC3C4" w14:textId="77777777" w:rsidR="00BD2765" w:rsidRPr="0008440B" w:rsidRDefault="00BD2765" w:rsidP="00D475D2">
      <w:pPr>
        <w:keepNext/>
        <w:spacing w:after="120"/>
        <w:rPr>
          <w:b/>
          <w:bCs/>
          <w:color w:val="000000"/>
          <w:sz w:val="24"/>
          <w:szCs w:val="24"/>
          <w:lang w:val="en-GB"/>
        </w:rPr>
      </w:pPr>
      <w:r w:rsidRPr="0008440B">
        <w:rPr>
          <w:b/>
          <w:bCs/>
          <w:color w:val="000000"/>
          <w:sz w:val="24"/>
          <w:szCs w:val="24"/>
          <w:lang w:val="en-GB"/>
        </w:rPr>
        <w:t>4.</w:t>
      </w:r>
      <w:r w:rsidRPr="0008440B">
        <w:rPr>
          <w:b/>
          <w:bCs/>
          <w:color w:val="000000"/>
          <w:sz w:val="24"/>
          <w:szCs w:val="24"/>
          <w:lang w:val="en-GB"/>
        </w:rPr>
        <w:tab/>
        <w:t>ACTIVITY INPUTS</w:t>
      </w:r>
    </w:p>
    <w:p w14:paraId="68860540" w14:textId="77777777" w:rsidR="00BD2765" w:rsidRPr="0008440B" w:rsidRDefault="00BD2765" w:rsidP="00D475D2">
      <w:pPr>
        <w:spacing w:after="120"/>
        <w:jc w:val="both"/>
        <w:rPr>
          <w:b/>
          <w:bCs/>
          <w:color w:val="000000"/>
          <w:sz w:val="24"/>
          <w:szCs w:val="24"/>
          <w:lang w:val="en-GB"/>
        </w:rPr>
      </w:pPr>
      <w:bookmarkStart w:id="7" w:name="_Toc304264283"/>
      <w:bookmarkEnd w:id="7"/>
      <w:r w:rsidRPr="0008440B">
        <w:rPr>
          <w:b/>
          <w:bCs/>
          <w:color w:val="000000"/>
          <w:sz w:val="24"/>
          <w:szCs w:val="24"/>
          <w:lang w:val="en-GB"/>
        </w:rPr>
        <w:t>4.1.</w:t>
      </w:r>
      <w:r w:rsidRPr="0008440B">
        <w:rPr>
          <w:b/>
          <w:bCs/>
          <w:color w:val="000000"/>
          <w:sz w:val="24"/>
          <w:szCs w:val="24"/>
          <w:lang w:val="en-GB"/>
        </w:rPr>
        <w:tab/>
        <w:t>Experts’ Profiles</w:t>
      </w:r>
    </w:p>
    <w:p w14:paraId="78845A4A" w14:textId="77777777" w:rsidR="00BD2765" w:rsidRPr="0008440B" w:rsidRDefault="00BD2765" w:rsidP="00D475D2">
      <w:pPr>
        <w:jc w:val="both"/>
        <w:rPr>
          <w:color w:val="00000A"/>
          <w:sz w:val="24"/>
          <w:szCs w:val="24"/>
          <w:lang w:val="en-GB"/>
        </w:rPr>
      </w:pPr>
      <w:r w:rsidRPr="0008440B">
        <w:rPr>
          <w:color w:val="000000"/>
          <w:sz w:val="24"/>
          <w:szCs w:val="24"/>
          <w:lang w:val="en-GB"/>
        </w:rPr>
        <w:t>Qualifications and skills</w:t>
      </w:r>
    </w:p>
    <w:p w14:paraId="4372D14B" w14:textId="596B5C9E" w:rsidR="00C15ACA" w:rsidRPr="00467A92" w:rsidRDefault="00BB3ECA" w:rsidP="00075FB3">
      <w:pPr>
        <w:numPr>
          <w:ilvl w:val="0"/>
          <w:numId w:val="16"/>
        </w:numPr>
        <w:jc w:val="both"/>
        <w:rPr>
          <w:bCs/>
          <w:color w:val="000000"/>
          <w:sz w:val="24"/>
          <w:szCs w:val="24"/>
          <w:lang w:val="en-GB"/>
        </w:rPr>
      </w:pPr>
      <w:r w:rsidRPr="00467A92">
        <w:rPr>
          <w:rFonts w:eastAsia="Calibri"/>
          <w:bCs/>
          <w:color w:val="000000"/>
          <w:sz w:val="24"/>
          <w:szCs w:val="24"/>
          <w:lang w:val="en-GB" w:eastAsia="en-GB"/>
        </w:rPr>
        <w:t>Higher legal education</w:t>
      </w:r>
      <w:r w:rsidR="00BD2765" w:rsidRPr="00467A92">
        <w:rPr>
          <w:rFonts w:eastAsia="Calibri"/>
          <w:bCs/>
          <w:color w:val="000000"/>
          <w:sz w:val="24"/>
          <w:szCs w:val="24"/>
          <w:lang w:val="en-GB" w:eastAsia="en-GB"/>
        </w:rPr>
        <w:t xml:space="preserve">; </w:t>
      </w:r>
    </w:p>
    <w:p w14:paraId="65F8BD6F" w14:textId="26CC3BCC" w:rsidR="00EE45BF" w:rsidRPr="00467A92" w:rsidRDefault="00BB3ECA" w:rsidP="00075FB3">
      <w:pPr>
        <w:numPr>
          <w:ilvl w:val="0"/>
          <w:numId w:val="16"/>
        </w:numPr>
        <w:jc w:val="both"/>
        <w:rPr>
          <w:bCs/>
          <w:color w:val="000000"/>
          <w:sz w:val="24"/>
          <w:szCs w:val="24"/>
          <w:lang w:val="en-GB"/>
        </w:rPr>
      </w:pPr>
      <w:r w:rsidRPr="00467A92">
        <w:rPr>
          <w:bCs/>
          <w:color w:val="000000"/>
          <w:sz w:val="24"/>
          <w:szCs w:val="24"/>
          <w:lang w:val="en-GB"/>
        </w:rPr>
        <w:t xml:space="preserve">not less than 3 (three) </w:t>
      </w:r>
      <w:r w:rsidR="00BD2765" w:rsidRPr="00467A92">
        <w:rPr>
          <w:bCs/>
          <w:color w:val="000000"/>
          <w:sz w:val="24"/>
          <w:szCs w:val="24"/>
          <w:lang w:val="en-GB"/>
        </w:rPr>
        <w:t>years</w:t>
      </w:r>
      <w:r w:rsidRPr="00467A92">
        <w:rPr>
          <w:bCs/>
          <w:color w:val="000000"/>
          <w:sz w:val="24"/>
          <w:szCs w:val="24"/>
          <w:lang w:val="en-GB"/>
        </w:rPr>
        <w:t xml:space="preserve"> of</w:t>
      </w:r>
      <w:r w:rsidR="00BD2765" w:rsidRPr="00467A92">
        <w:rPr>
          <w:bCs/>
          <w:color w:val="000000"/>
          <w:sz w:val="24"/>
          <w:szCs w:val="24"/>
          <w:lang w:val="en-GB"/>
        </w:rPr>
        <w:t xml:space="preserve"> professional </w:t>
      </w:r>
      <w:r w:rsidRPr="00467A92">
        <w:rPr>
          <w:bCs/>
          <w:color w:val="000000"/>
          <w:sz w:val="24"/>
          <w:szCs w:val="24"/>
          <w:lang w:val="en-GB"/>
        </w:rPr>
        <w:t>experience in the legal field</w:t>
      </w:r>
      <w:r w:rsidR="00EE45BF" w:rsidRPr="00467A92">
        <w:rPr>
          <w:bCs/>
          <w:color w:val="000000"/>
          <w:sz w:val="24"/>
          <w:szCs w:val="24"/>
          <w:lang w:val="en-GB"/>
        </w:rPr>
        <w:t>.</w:t>
      </w:r>
    </w:p>
    <w:p w14:paraId="2B3616D1" w14:textId="3120EE07" w:rsidR="00BB3ECA" w:rsidRPr="00467A92" w:rsidRDefault="00BB3ECA" w:rsidP="00467A92">
      <w:pPr>
        <w:numPr>
          <w:ilvl w:val="0"/>
          <w:numId w:val="16"/>
        </w:numPr>
        <w:spacing w:after="240"/>
        <w:jc w:val="both"/>
        <w:rPr>
          <w:bCs/>
          <w:color w:val="000000"/>
          <w:sz w:val="24"/>
          <w:szCs w:val="24"/>
          <w:lang w:val="en-GB"/>
        </w:rPr>
      </w:pPr>
      <w:r w:rsidRPr="00467A92">
        <w:rPr>
          <w:bCs/>
          <w:color w:val="000000"/>
          <w:sz w:val="24"/>
          <w:szCs w:val="24"/>
          <w:lang w:val="en-GB"/>
        </w:rPr>
        <w:t>experience in the development, support and participation in the process of approval of draft regulatory legal acts - not less than 1 (one) year</w:t>
      </w:r>
      <w:r w:rsidR="00F5345D" w:rsidRPr="00467A92">
        <w:rPr>
          <w:bCs/>
          <w:color w:val="000000"/>
          <w:sz w:val="24"/>
          <w:szCs w:val="24"/>
          <w:lang w:val="en-GB"/>
        </w:rPr>
        <w:t xml:space="preserve"> </w:t>
      </w:r>
      <w:r w:rsidR="00F5345D" w:rsidRPr="007C0E5D">
        <w:rPr>
          <w:bCs/>
          <w:color w:val="1F497D" w:themeColor="text2"/>
          <w:sz w:val="24"/>
          <w:szCs w:val="24"/>
          <w:lang w:val="en-GB"/>
        </w:rPr>
        <w:t>(</w:t>
      </w:r>
      <w:r w:rsidR="007C0E5D" w:rsidRPr="007C0E5D">
        <w:rPr>
          <w:bCs/>
          <w:color w:val="1F497D" w:themeColor="text2"/>
          <w:sz w:val="24"/>
          <w:szCs w:val="24"/>
          <w:lang w:val="en-GB"/>
        </w:rPr>
        <w:t>required</w:t>
      </w:r>
      <w:r w:rsidR="00F5345D" w:rsidRPr="007C0E5D">
        <w:rPr>
          <w:bCs/>
          <w:color w:val="1F497D" w:themeColor="text2"/>
          <w:sz w:val="24"/>
          <w:szCs w:val="24"/>
          <w:lang w:val="en-GB"/>
        </w:rPr>
        <w:t>)</w:t>
      </w:r>
      <w:r w:rsidRPr="007C0E5D">
        <w:rPr>
          <w:bCs/>
          <w:color w:val="1F497D" w:themeColor="text2"/>
          <w:sz w:val="24"/>
          <w:szCs w:val="24"/>
          <w:lang w:val="en-GB"/>
        </w:rPr>
        <w:t>.</w:t>
      </w:r>
    </w:p>
    <w:p w14:paraId="623275E6" w14:textId="77777777" w:rsidR="00BD2765" w:rsidRPr="0008440B" w:rsidRDefault="00BD2765" w:rsidP="00D475D2">
      <w:pPr>
        <w:pStyle w:val="ab"/>
        <w:ind w:left="0"/>
        <w:jc w:val="both"/>
        <w:rPr>
          <w:rFonts w:ascii="Tahoma" w:hAnsi="Tahoma"/>
          <w:bCs/>
          <w:color w:val="000000"/>
          <w:sz w:val="24"/>
          <w:szCs w:val="24"/>
        </w:rPr>
      </w:pPr>
    </w:p>
    <w:p w14:paraId="44E1E31A" w14:textId="77777777" w:rsidR="00BD2765" w:rsidRPr="0008440B" w:rsidRDefault="00BD2765" w:rsidP="00D475D2">
      <w:pPr>
        <w:pStyle w:val="ab"/>
        <w:ind w:left="0"/>
        <w:jc w:val="both"/>
        <w:rPr>
          <w:rFonts w:ascii="Tahoma" w:hAnsi="Tahoma"/>
          <w:bCs/>
          <w:color w:val="000000"/>
          <w:sz w:val="24"/>
          <w:szCs w:val="24"/>
        </w:rPr>
      </w:pPr>
      <w:r w:rsidRPr="0008440B">
        <w:rPr>
          <w:rFonts w:ascii="Tahoma" w:hAnsi="Tahoma"/>
          <w:bCs/>
          <w:color w:val="000000"/>
          <w:sz w:val="24"/>
          <w:szCs w:val="24"/>
        </w:rPr>
        <w:t>Competencies</w:t>
      </w:r>
    </w:p>
    <w:p w14:paraId="28D24186" w14:textId="250254D4" w:rsidR="00BD2765" w:rsidRPr="0008440B" w:rsidRDefault="00BB3ECA" w:rsidP="00D475D2">
      <w:pPr>
        <w:pStyle w:val="ab"/>
        <w:numPr>
          <w:ilvl w:val="0"/>
          <w:numId w:val="16"/>
        </w:numPr>
        <w:jc w:val="both"/>
        <w:rPr>
          <w:rFonts w:ascii="Tahoma" w:hAnsi="Tahoma"/>
          <w:color w:val="00000A"/>
          <w:sz w:val="24"/>
          <w:szCs w:val="24"/>
        </w:rPr>
      </w:pPr>
      <w:r w:rsidRPr="00467A92">
        <w:rPr>
          <w:rFonts w:ascii="Tahoma" w:hAnsi="Tahoma"/>
          <w:sz w:val="24"/>
          <w:szCs w:val="24"/>
        </w:rPr>
        <w:t xml:space="preserve">Knowledge of the European integration procedures, </w:t>
      </w:r>
      <w:r w:rsidRPr="0008440B">
        <w:rPr>
          <w:rFonts w:ascii="Tahoma" w:hAnsi="Tahoma"/>
          <w:sz w:val="24"/>
          <w:szCs w:val="24"/>
        </w:rPr>
        <w:t>especially in the healthcare sector</w:t>
      </w:r>
      <w:r w:rsidR="00BD2765" w:rsidRPr="0008440B">
        <w:rPr>
          <w:rFonts w:ascii="Tahoma" w:hAnsi="Tahoma"/>
          <w:sz w:val="24"/>
          <w:szCs w:val="24"/>
        </w:rPr>
        <w:t>;</w:t>
      </w:r>
    </w:p>
    <w:p w14:paraId="3F0498E1" w14:textId="0D222C36" w:rsidR="00DD4FB1" w:rsidRPr="00467A92" w:rsidRDefault="00DD4FB1" w:rsidP="00D475D2">
      <w:pPr>
        <w:pStyle w:val="ab"/>
        <w:numPr>
          <w:ilvl w:val="0"/>
          <w:numId w:val="16"/>
        </w:numPr>
        <w:jc w:val="both"/>
        <w:rPr>
          <w:rFonts w:ascii="Tahoma" w:hAnsi="Tahoma"/>
          <w:color w:val="00000A"/>
          <w:sz w:val="24"/>
          <w:szCs w:val="24"/>
        </w:rPr>
      </w:pPr>
      <w:r w:rsidRPr="00467A92">
        <w:rPr>
          <w:rFonts w:ascii="Tahoma" w:hAnsi="Tahoma"/>
          <w:color w:val="00000A"/>
          <w:sz w:val="24"/>
          <w:szCs w:val="24"/>
        </w:rPr>
        <w:t>Experience in drafting regulations on the approximation of Ukrainian legislation to EU healthcare legislation will be an advantage;</w:t>
      </w:r>
    </w:p>
    <w:p w14:paraId="25288CCB" w14:textId="77777777" w:rsidR="00BD2765" w:rsidRPr="0008440B" w:rsidRDefault="00BD2765" w:rsidP="00D475D2">
      <w:pPr>
        <w:pStyle w:val="ab"/>
        <w:numPr>
          <w:ilvl w:val="0"/>
          <w:numId w:val="16"/>
        </w:numPr>
        <w:jc w:val="both"/>
        <w:rPr>
          <w:rFonts w:ascii="Tahoma" w:hAnsi="Tahoma"/>
          <w:sz w:val="24"/>
          <w:szCs w:val="24"/>
        </w:rPr>
      </w:pPr>
      <w:r w:rsidRPr="0008440B">
        <w:rPr>
          <w:rFonts w:ascii="Tahoma" w:hAnsi="Tahoma"/>
          <w:sz w:val="24"/>
          <w:szCs w:val="24"/>
        </w:rPr>
        <w:lastRenderedPageBreak/>
        <w:t>Excellent organizational skills, ability to work independently, strict adherence to completing assigned tasks in a timely manner;</w:t>
      </w:r>
    </w:p>
    <w:p w14:paraId="1FAE1CCB" w14:textId="77777777" w:rsidR="00BD2765" w:rsidRPr="0008440B" w:rsidRDefault="00BD2765" w:rsidP="00D475D2">
      <w:pPr>
        <w:pStyle w:val="ab"/>
        <w:numPr>
          <w:ilvl w:val="0"/>
          <w:numId w:val="16"/>
        </w:numPr>
        <w:jc w:val="both"/>
        <w:rPr>
          <w:rFonts w:ascii="Tahoma" w:hAnsi="Tahoma"/>
          <w:sz w:val="24"/>
          <w:szCs w:val="24"/>
        </w:rPr>
      </w:pPr>
      <w:r w:rsidRPr="0008440B">
        <w:rPr>
          <w:rFonts w:ascii="Tahoma" w:hAnsi="Tahoma"/>
          <w:sz w:val="24"/>
          <w:szCs w:val="24"/>
        </w:rPr>
        <w:t>Outstanding analytical skills;</w:t>
      </w:r>
    </w:p>
    <w:p w14:paraId="75935170" w14:textId="77777777" w:rsidR="00BD2765" w:rsidRPr="0008440B" w:rsidRDefault="00BD2765" w:rsidP="00D475D2">
      <w:pPr>
        <w:pStyle w:val="ab"/>
        <w:numPr>
          <w:ilvl w:val="0"/>
          <w:numId w:val="16"/>
        </w:numPr>
        <w:jc w:val="both"/>
        <w:rPr>
          <w:rFonts w:ascii="Tahoma" w:hAnsi="Tahoma"/>
          <w:sz w:val="24"/>
          <w:szCs w:val="24"/>
        </w:rPr>
      </w:pPr>
      <w:r w:rsidRPr="0008440B">
        <w:rPr>
          <w:rFonts w:ascii="Tahoma" w:hAnsi="Tahoma"/>
          <w:sz w:val="24"/>
          <w:szCs w:val="24"/>
        </w:rPr>
        <w:t>Quality-oriented professional, constructive approach to obstacles and delays in planned performance;</w:t>
      </w:r>
    </w:p>
    <w:p w14:paraId="2FA830A5" w14:textId="77777777" w:rsidR="00BD2765" w:rsidRPr="0008440B" w:rsidRDefault="00BD2765" w:rsidP="00D475D2">
      <w:pPr>
        <w:pStyle w:val="ab"/>
        <w:numPr>
          <w:ilvl w:val="0"/>
          <w:numId w:val="16"/>
        </w:numPr>
        <w:jc w:val="both"/>
        <w:rPr>
          <w:rFonts w:ascii="Tahoma" w:hAnsi="Tahoma"/>
          <w:sz w:val="24"/>
          <w:szCs w:val="24"/>
        </w:rPr>
      </w:pPr>
      <w:r w:rsidRPr="0008440B">
        <w:rPr>
          <w:rFonts w:ascii="Tahoma" w:hAnsi="Tahoma"/>
          <w:sz w:val="24"/>
          <w:szCs w:val="24"/>
        </w:rPr>
        <w:t>Excellent research and paper writing skills;</w:t>
      </w:r>
    </w:p>
    <w:p w14:paraId="24FD1953" w14:textId="77777777" w:rsidR="00A50076" w:rsidRPr="0008440B" w:rsidRDefault="00BD2765" w:rsidP="00D475D2">
      <w:pPr>
        <w:pStyle w:val="ab"/>
        <w:numPr>
          <w:ilvl w:val="0"/>
          <w:numId w:val="16"/>
        </w:numPr>
        <w:jc w:val="both"/>
        <w:rPr>
          <w:rFonts w:ascii="Tahoma" w:hAnsi="Tahoma"/>
          <w:sz w:val="24"/>
          <w:szCs w:val="24"/>
        </w:rPr>
      </w:pPr>
      <w:r w:rsidRPr="0008440B">
        <w:rPr>
          <w:rFonts w:ascii="Tahoma" w:hAnsi="Tahoma"/>
          <w:sz w:val="24"/>
          <w:szCs w:val="24"/>
        </w:rPr>
        <w:t>Excellent communication skills, oral and written</w:t>
      </w:r>
      <w:r w:rsidR="00A50076" w:rsidRPr="0008440B">
        <w:rPr>
          <w:rFonts w:ascii="Tahoma" w:hAnsi="Tahoma"/>
          <w:sz w:val="24"/>
          <w:szCs w:val="24"/>
        </w:rPr>
        <w:t>;</w:t>
      </w:r>
    </w:p>
    <w:p w14:paraId="625F06A0" w14:textId="0495D13F" w:rsidR="00BD2765" w:rsidRPr="0008440B" w:rsidRDefault="00A50076" w:rsidP="00D475D2">
      <w:pPr>
        <w:pStyle w:val="ab"/>
        <w:numPr>
          <w:ilvl w:val="0"/>
          <w:numId w:val="16"/>
        </w:numPr>
        <w:jc w:val="both"/>
        <w:rPr>
          <w:rFonts w:ascii="Tahoma" w:hAnsi="Tahoma"/>
          <w:sz w:val="24"/>
          <w:szCs w:val="24"/>
        </w:rPr>
      </w:pPr>
      <w:r w:rsidRPr="0008440B">
        <w:rPr>
          <w:rFonts w:ascii="Tahoma" w:hAnsi="Tahoma"/>
          <w:sz w:val="24"/>
          <w:szCs w:val="24"/>
        </w:rPr>
        <w:t>Team player</w:t>
      </w:r>
      <w:r w:rsidR="00BD2765" w:rsidRPr="0008440B">
        <w:rPr>
          <w:rFonts w:ascii="Tahoma" w:hAnsi="Tahoma"/>
          <w:sz w:val="24"/>
          <w:szCs w:val="24"/>
        </w:rPr>
        <w:t>.</w:t>
      </w:r>
    </w:p>
    <w:p w14:paraId="728E1C69" w14:textId="77777777" w:rsidR="00BD2765" w:rsidRPr="0008440B" w:rsidRDefault="00BD2765" w:rsidP="00D475D2">
      <w:pPr>
        <w:jc w:val="both"/>
        <w:rPr>
          <w:sz w:val="24"/>
          <w:szCs w:val="24"/>
          <w:lang w:val="en-GB"/>
        </w:rPr>
      </w:pPr>
    </w:p>
    <w:p w14:paraId="50E4E4C0" w14:textId="77777777" w:rsidR="00BD2765" w:rsidRPr="0008440B" w:rsidRDefault="00BD2765" w:rsidP="00D475D2">
      <w:pPr>
        <w:jc w:val="both"/>
        <w:rPr>
          <w:sz w:val="24"/>
          <w:szCs w:val="24"/>
          <w:lang w:val="en-GB"/>
        </w:rPr>
      </w:pPr>
      <w:r w:rsidRPr="0008440B">
        <w:rPr>
          <w:sz w:val="24"/>
          <w:szCs w:val="24"/>
          <w:lang w:val="en-GB"/>
        </w:rPr>
        <w:t>Language skills</w:t>
      </w:r>
      <w:r w:rsidRPr="0008440B">
        <w:rPr>
          <w:sz w:val="24"/>
          <w:szCs w:val="24"/>
          <w:lang w:val="en-GB"/>
        </w:rPr>
        <w:tab/>
      </w:r>
    </w:p>
    <w:p w14:paraId="434EB4DF" w14:textId="6F02A04E" w:rsidR="00BD2765" w:rsidRPr="0008440B" w:rsidRDefault="00BD2765" w:rsidP="00A50076">
      <w:pPr>
        <w:numPr>
          <w:ilvl w:val="0"/>
          <w:numId w:val="17"/>
        </w:numPr>
        <w:spacing w:after="120"/>
        <w:jc w:val="both"/>
        <w:rPr>
          <w:sz w:val="24"/>
          <w:szCs w:val="24"/>
          <w:lang w:val="en-GB"/>
        </w:rPr>
      </w:pPr>
      <w:r w:rsidRPr="0008440B">
        <w:rPr>
          <w:sz w:val="24"/>
          <w:szCs w:val="24"/>
          <w:lang w:val="en-GB"/>
        </w:rPr>
        <w:t>Fluency in English and Ukrainian (written and spoken).</w:t>
      </w:r>
    </w:p>
    <w:p w14:paraId="477AFDB5" w14:textId="77777777" w:rsidR="009F08C2" w:rsidRDefault="009F08C2" w:rsidP="009F08C2">
      <w:pPr>
        <w:spacing w:after="120"/>
        <w:jc w:val="both"/>
        <w:rPr>
          <w:rFonts w:ascii="Arial" w:hAnsi="Arial" w:cs="Arial"/>
          <w:color w:val="212121"/>
          <w:sz w:val="22"/>
          <w:szCs w:val="22"/>
          <w:shd w:val="clear" w:color="auto" w:fill="FFFF00"/>
          <w:lang w:val="en-GB"/>
        </w:rPr>
      </w:pPr>
    </w:p>
    <w:p w14:paraId="4A072CD7" w14:textId="4109D67B" w:rsidR="00C15ACA" w:rsidRPr="00467A92" w:rsidRDefault="009F08C2" w:rsidP="00467A92">
      <w:pPr>
        <w:spacing w:after="120"/>
        <w:jc w:val="both"/>
        <w:rPr>
          <w:sz w:val="24"/>
          <w:szCs w:val="24"/>
          <w:lang w:val="en-GB"/>
        </w:rPr>
      </w:pPr>
      <w:r w:rsidRPr="00467A92">
        <w:rPr>
          <w:color w:val="212121"/>
          <w:sz w:val="24"/>
          <w:szCs w:val="24"/>
          <w:shd w:val="clear" w:color="auto" w:fill="FFFF00"/>
          <w:lang w:val="en-GB"/>
        </w:rPr>
        <w:t>The expert consents that GFA verifies the expert’s name against the database of publicly accessible sanctions lists. In case the expert’s name is found on any of the sanctions lists GFA</w:t>
      </w:r>
      <w:r w:rsidR="00467A92" w:rsidRPr="00467A92">
        <w:rPr>
          <w:color w:val="212121"/>
          <w:sz w:val="24"/>
          <w:szCs w:val="24"/>
          <w:shd w:val="clear" w:color="auto" w:fill="FFFF00"/>
          <w:lang w:val="uk-UA"/>
        </w:rPr>
        <w:t xml:space="preserve"> </w:t>
      </w:r>
      <w:r w:rsidRPr="00467A92">
        <w:rPr>
          <w:color w:val="212121"/>
          <w:sz w:val="24"/>
          <w:szCs w:val="24"/>
          <w:shd w:val="clear" w:color="auto" w:fill="FFFF00"/>
          <w:lang w:val="en-GB"/>
        </w:rPr>
        <w:t>may terminate the agreement with immediate effect</w:t>
      </w:r>
      <w:r w:rsidRPr="00467A92">
        <w:rPr>
          <w:color w:val="212121"/>
          <w:sz w:val="24"/>
          <w:szCs w:val="24"/>
          <w:lang w:val="en-GB"/>
        </w:rPr>
        <w:t>.</w:t>
      </w:r>
    </w:p>
    <w:p w14:paraId="6BAF3D83" w14:textId="77777777" w:rsidR="00C15ACA" w:rsidRPr="0008440B" w:rsidRDefault="00C15ACA" w:rsidP="00D475D2">
      <w:pPr>
        <w:spacing w:after="120"/>
        <w:ind w:left="720"/>
        <w:jc w:val="both"/>
        <w:rPr>
          <w:sz w:val="24"/>
          <w:szCs w:val="24"/>
          <w:lang w:val="en-GB"/>
        </w:rPr>
      </w:pPr>
    </w:p>
    <w:p w14:paraId="3D7DADA6" w14:textId="77777777" w:rsidR="00BD2765" w:rsidRPr="0008440B" w:rsidRDefault="00BD2765" w:rsidP="00D475D2">
      <w:pPr>
        <w:spacing w:after="120"/>
        <w:jc w:val="both"/>
        <w:rPr>
          <w:b/>
          <w:bCs/>
          <w:color w:val="000000"/>
          <w:sz w:val="24"/>
          <w:szCs w:val="24"/>
          <w:lang w:val="en-GB"/>
        </w:rPr>
      </w:pPr>
      <w:bookmarkStart w:id="8" w:name="_Toc304264284"/>
      <w:bookmarkEnd w:id="8"/>
      <w:r w:rsidRPr="0008440B">
        <w:rPr>
          <w:b/>
          <w:bCs/>
          <w:color w:val="000000"/>
          <w:sz w:val="24"/>
          <w:szCs w:val="24"/>
          <w:lang w:val="en-GB"/>
        </w:rPr>
        <w:t>5.</w:t>
      </w:r>
      <w:r w:rsidRPr="0008440B">
        <w:rPr>
          <w:b/>
          <w:bCs/>
          <w:color w:val="000000"/>
          <w:sz w:val="24"/>
          <w:szCs w:val="24"/>
          <w:lang w:val="en-GB"/>
        </w:rPr>
        <w:tab/>
        <w:t>REPORTING REQUIREMENTS</w:t>
      </w:r>
    </w:p>
    <w:p w14:paraId="1BB4C6C6" w14:textId="3CE80694" w:rsidR="00BD2765" w:rsidRDefault="00F5345D" w:rsidP="00E74CB7">
      <w:pPr>
        <w:spacing w:after="120"/>
        <w:jc w:val="both"/>
        <w:rPr>
          <w:bCs/>
          <w:color w:val="000000"/>
          <w:sz w:val="24"/>
          <w:szCs w:val="24"/>
          <w:lang w:val="en-GB"/>
        </w:rPr>
      </w:pPr>
      <w:r w:rsidRPr="0008440B">
        <w:rPr>
          <w:bCs/>
          <w:color w:val="000000"/>
          <w:sz w:val="24"/>
          <w:szCs w:val="24"/>
          <w:lang w:val="en-GB"/>
        </w:rPr>
        <w:t>Weekly</w:t>
      </w:r>
      <w:r w:rsidR="007C0E5D">
        <w:rPr>
          <w:bCs/>
          <w:color w:val="000000"/>
          <w:sz w:val="24"/>
          <w:szCs w:val="24"/>
          <w:lang w:val="uk-UA"/>
        </w:rPr>
        <w:t>*</w:t>
      </w:r>
      <w:r w:rsidRPr="0008440B">
        <w:rPr>
          <w:bCs/>
          <w:color w:val="000000"/>
          <w:sz w:val="24"/>
          <w:szCs w:val="24"/>
          <w:lang w:val="en-GB"/>
        </w:rPr>
        <w:t xml:space="preserve"> and m</w:t>
      </w:r>
      <w:r w:rsidR="00BD2765" w:rsidRPr="0008440B">
        <w:rPr>
          <w:bCs/>
          <w:color w:val="000000"/>
          <w:sz w:val="24"/>
          <w:szCs w:val="24"/>
          <w:lang w:val="en-GB"/>
        </w:rPr>
        <w:t xml:space="preserve">onthly reports and </w:t>
      </w:r>
      <w:r w:rsidR="00EE45BF" w:rsidRPr="0008440B">
        <w:rPr>
          <w:bCs/>
          <w:color w:val="000000"/>
          <w:sz w:val="24"/>
          <w:szCs w:val="24"/>
          <w:lang w:val="en-GB"/>
        </w:rPr>
        <w:t xml:space="preserve">a </w:t>
      </w:r>
      <w:r w:rsidR="00BD2765" w:rsidRPr="0008440B">
        <w:rPr>
          <w:bCs/>
          <w:color w:val="000000"/>
          <w:sz w:val="24"/>
          <w:szCs w:val="24"/>
          <w:lang w:val="en-GB"/>
        </w:rPr>
        <w:t xml:space="preserve">Final </w:t>
      </w:r>
      <w:r w:rsidR="00EE45BF" w:rsidRPr="0008440B">
        <w:rPr>
          <w:bCs/>
          <w:color w:val="000000"/>
          <w:sz w:val="24"/>
          <w:szCs w:val="24"/>
          <w:lang w:val="en-GB"/>
        </w:rPr>
        <w:t>S</w:t>
      </w:r>
      <w:r w:rsidR="00BD2765" w:rsidRPr="0008440B">
        <w:rPr>
          <w:bCs/>
          <w:color w:val="000000"/>
          <w:sz w:val="24"/>
          <w:szCs w:val="24"/>
          <w:lang w:val="en-GB"/>
        </w:rPr>
        <w:t xml:space="preserve">ummary </w:t>
      </w:r>
      <w:r w:rsidR="00EE45BF" w:rsidRPr="0008440B">
        <w:rPr>
          <w:bCs/>
          <w:color w:val="000000"/>
          <w:sz w:val="24"/>
          <w:szCs w:val="24"/>
          <w:lang w:val="en-GB"/>
        </w:rPr>
        <w:t>R</w:t>
      </w:r>
      <w:r w:rsidR="00BD2765" w:rsidRPr="0008440B">
        <w:rPr>
          <w:bCs/>
          <w:color w:val="000000"/>
          <w:sz w:val="24"/>
          <w:szCs w:val="24"/>
          <w:lang w:val="en-GB"/>
        </w:rPr>
        <w:t>eport upon mission completion, including all technical reports prepared.</w:t>
      </w:r>
    </w:p>
    <w:p w14:paraId="508A47DD" w14:textId="77777777" w:rsidR="007C0E5D" w:rsidRDefault="007C0E5D" w:rsidP="00E74CB7">
      <w:pPr>
        <w:spacing w:after="120"/>
        <w:jc w:val="both"/>
        <w:rPr>
          <w:bCs/>
          <w:color w:val="000000"/>
          <w:sz w:val="24"/>
          <w:szCs w:val="24"/>
          <w:lang w:val="en-GB"/>
        </w:rPr>
      </w:pPr>
    </w:p>
    <w:p w14:paraId="7386B126" w14:textId="1C68F633" w:rsidR="007C0E5D" w:rsidRPr="007C0E5D" w:rsidRDefault="007C0E5D" w:rsidP="007C0E5D">
      <w:pPr>
        <w:spacing w:after="120"/>
        <w:jc w:val="both"/>
        <w:rPr>
          <w:bCs/>
          <w:i/>
          <w:iCs/>
          <w:color w:val="000000"/>
          <w:sz w:val="24"/>
          <w:szCs w:val="24"/>
          <w:lang w:val="uk-UA"/>
        </w:rPr>
      </w:pPr>
      <w:r w:rsidRPr="007C0E5D">
        <w:rPr>
          <w:bCs/>
          <w:i/>
          <w:iCs/>
          <w:color w:val="000000"/>
          <w:sz w:val="24"/>
          <w:szCs w:val="24"/>
          <w:lang w:val="uk-UA"/>
        </w:rPr>
        <w:t>*(</w:t>
      </w:r>
      <w:r w:rsidRPr="007C0E5D">
        <w:rPr>
          <w:bCs/>
          <w:i/>
          <w:iCs/>
          <w:color w:val="000000"/>
          <w:sz w:val="24"/>
          <w:szCs w:val="24"/>
          <w:lang w:val="en-GB"/>
        </w:rPr>
        <w:t>Weekly</w:t>
      </w:r>
      <w:r w:rsidRPr="007C0E5D">
        <w:rPr>
          <w:bCs/>
          <w:i/>
          <w:iCs/>
          <w:color w:val="000000"/>
          <w:sz w:val="24"/>
          <w:szCs w:val="24"/>
          <w:lang w:val="uk-UA"/>
        </w:rPr>
        <w:t xml:space="preserve"> </w:t>
      </w:r>
      <w:r w:rsidRPr="007C0E5D">
        <w:rPr>
          <w:bCs/>
          <w:i/>
          <w:iCs/>
          <w:color w:val="000000"/>
          <w:sz w:val="24"/>
          <w:szCs w:val="24"/>
          <w:lang w:val="en-GB"/>
        </w:rPr>
        <w:t>reports</w:t>
      </w:r>
      <w:r w:rsidRPr="007C0E5D">
        <w:rPr>
          <w:bCs/>
          <w:i/>
          <w:iCs/>
          <w:color w:val="000000"/>
          <w:sz w:val="24"/>
          <w:szCs w:val="24"/>
          <w:lang w:val="uk-UA"/>
        </w:rPr>
        <w:t xml:space="preserve"> can be very simple - oral report during one meeting per week with the project team or one page report what the expert was doing during the week and what are the plan for the coming week when team meetings are not possible ).</w:t>
      </w:r>
    </w:p>
    <w:sectPr w:rsidR="007C0E5D" w:rsidRPr="007C0E5D" w:rsidSect="00E74CB7">
      <w:headerReference w:type="default" r:id="rId12"/>
      <w:footerReference w:type="default" r:id="rId13"/>
      <w:headerReference w:type="first" r:id="rId14"/>
      <w:footerReference w:type="first" r:id="rId15"/>
      <w:pgSz w:w="11906" w:h="16838"/>
      <w:pgMar w:top="1440" w:right="1080" w:bottom="284" w:left="1080" w:header="708" w:footer="56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549D" w14:textId="77777777" w:rsidR="00A6065B" w:rsidRDefault="00A6065B">
      <w:r>
        <w:separator/>
      </w:r>
    </w:p>
  </w:endnote>
  <w:endnote w:type="continuationSeparator" w:id="0">
    <w:p w14:paraId="420FD5C2" w14:textId="77777777" w:rsidR="00A6065B" w:rsidRDefault="00A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New Roman (Hoofdtekst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2899"/>
      <w:docPartObj>
        <w:docPartGallery w:val="Page Numbers (Bottom of Page)"/>
        <w:docPartUnique/>
      </w:docPartObj>
    </w:sdtPr>
    <w:sdtEndPr>
      <w:rPr>
        <w:noProof/>
      </w:rPr>
    </w:sdtEndPr>
    <w:sdtContent>
      <w:p w14:paraId="604C74C3" w14:textId="2280DC51" w:rsidR="002A1989" w:rsidRPr="00ED3883" w:rsidRDefault="002A1989" w:rsidP="002A1989">
        <w:pPr>
          <w:pStyle w:val="a9"/>
          <w:rPr>
            <w:color w:val="003999"/>
          </w:rPr>
        </w:pPr>
      </w:p>
      <w:p w14:paraId="04D5C11F" w14:textId="70284CB5" w:rsidR="002A1989" w:rsidRPr="003676DB" w:rsidRDefault="002A1989">
        <w:pPr>
          <w:pStyle w:val="a9"/>
          <w:jc w:val="right"/>
        </w:pPr>
        <w:r w:rsidRPr="003676DB">
          <w:fldChar w:fldCharType="begin"/>
        </w:r>
        <w:r w:rsidRPr="003676DB">
          <w:instrText xml:space="preserve"> PAGE   \* MERGEFORMAT </w:instrText>
        </w:r>
        <w:r w:rsidRPr="003676DB">
          <w:fldChar w:fldCharType="separate"/>
        </w:r>
        <w:r w:rsidRPr="003676DB">
          <w:rPr>
            <w:noProof/>
          </w:rPr>
          <w:t>2</w:t>
        </w:r>
        <w:r w:rsidRPr="003676DB">
          <w:rPr>
            <w:noProof/>
          </w:rPr>
          <w:fldChar w:fldCharType="end"/>
        </w:r>
      </w:p>
    </w:sdtContent>
  </w:sdt>
  <w:p w14:paraId="396C156C" w14:textId="77777777" w:rsidR="006D40C6" w:rsidRDefault="006D40C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42161"/>
      <w:docPartObj>
        <w:docPartGallery w:val="Page Numbers (Bottom of Page)"/>
        <w:docPartUnique/>
      </w:docPartObj>
    </w:sdtPr>
    <w:sdtEndPr>
      <w:rPr>
        <w:noProof/>
      </w:rPr>
    </w:sdtEndPr>
    <w:sdtContent>
      <w:p w14:paraId="334E7A10" w14:textId="77777777" w:rsidR="002A1989" w:rsidRPr="003676DB" w:rsidRDefault="002A1989" w:rsidP="002A1989">
        <w:pPr>
          <w:pStyle w:val="a9"/>
          <w:rPr>
            <w:color w:val="003999"/>
          </w:rPr>
        </w:pPr>
        <w:r w:rsidRPr="003676DB">
          <w:rPr>
            <w:color w:val="003999"/>
          </w:rPr>
          <w:t>GFA Project Office in Kyiv, Ukraine, 41, Yaroslavska Str./ 31, Hertsena Str.</w:t>
        </w:r>
      </w:p>
      <w:p w14:paraId="1E579703" w14:textId="64AD8C8E" w:rsidR="002A1989" w:rsidRPr="003676DB" w:rsidRDefault="002A1989">
        <w:pPr>
          <w:pStyle w:val="a9"/>
          <w:jc w:val="right"/>
        </w:pPr>
        <w:r w:rsidRPr="003676DB">
          <w:fldChar w:fldCharType="begin"/>
        </w:r>
        <w:r w:rsidRPr="003676DB">
          <w:instrText xml:space="preserve"> PAGE   \* MERGEFORMAT </w:instrText>
        </w:r>
        <w:r w:rsidRPr="003676DB">
          <w:fldChar w:fldCharType="separate"/>
        </w:r>
        <w:r w:rsidRPr="003676DB">
          <w:rPr>
            <w:noProof/>
          </w:rPr>
          <w:t>2</w:t>
        </w:r>
        <w:r w:rsidRPr="003676DB">
          <w:rPr>
            <w:noProof/>
          </w:rPr>
          <w:fldChar w:fldCharType="end"/>
        </w:r>
      </w:p>
    </w:sdtContent>
  </w:sdt>
  <w:p w14:paraId="6E8E4A7C" w14:textId="77777777" w:rsidR="001649DE" w:rsidRDefault="001649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8A8B" w14:textId="77777777" w:rsidR="00A6065B" w:rsidRDefault="00A6065B">
      <w:r>
        <w:separator/>
      </w:r>
    </w:p>
  </w:footnote>
  <w:footnote w:type="continuationSeparator" w:id="0">
    <w:p w14:paraId="19AFDC15" w14:textId="77777777" w:rsidR="00A6065B" w:rsidRDefault="00A6065B">
      <w:r>
        <w:continuationSeparator/>
      </w:r>
    </w:p>
  </w:footnote>
  <w:footnote w:id="1">
    <w:p w14:paraId="6CD2AF2A" w14:textId="0985F0F9" w:rsidR="0008440B" w:rsidRPr="00467A92" w:rsidRDefault="0008440B">
      <w:pPr>
        <w:pStyle w:val="af0"/>
        <w:rPr>
          <w:lang w:val="en-GB"/>
        </w:rPr>
      </w:pPr>
      <w:r w:rsidRPr="00467A92">
        <w:rPr>
          <w:rStyle w:val="af2"/>
          <w:lang w:val="en-GB"/>
        </w:rPr>
        <w:footnoteRef/>
      </w:r>
      <w:r w:rsidRPr="00467A92">
        <w:rPr>
          <w:lang w:val="en-GB"/>
        </w:rPr>
        <w:t xml:space="preserve"> Further in the text: legal junior non-key expert</w:t>
      </w:r>
    </w:p>
  </w:footnote>
  <w:footnote w:id="2">
    <w:p w14:paraId="05F4D8C6" w14:textId="4D7ACAD0" w:rsidR="002B7332" w:rsidRPr="00467A92" w:rsidRDefault="002B7332">
      <w:pPr>
        <w:pStyle w:val="af0"/>
        <w:rPr>
          <w:lang w:val="en-GB"/>
        </w:rPr>
      </w:pPr>
      <w:r w:rsidRPr="00467A92">
        <w:rPr>
          <w:rStyle w:val="af2"/>
          <w:lang w:val="en-GB"/>
        </w:rPr>
        <w:footnoteRef/>
      </w:r>
      <w:r w:rsidRPr="00467A92">
        <w:rPr>
          <w:lang w:val="en-GB"/>
        </w:rPr>
        <w:t xml:space="preserve">A new </w:t>
      </w:r>
      <w:r w:rsidRPr="00467A92">
        <w:rPr>
          <w:color w:val="222222"/>
          <w:shd w:val="clear" w:color="auto" w:fill="FFFFFF"/>
          <w:lang w:val="en-GB"/>
        </w:rPr>
        <w:t>National Health Strategy until 2030 is in the process of being drafted.</w:t>
      </w:r>
    </w:p>
  </w:footnote>
  <w:footnote w:id="3">
    <w:p w14:paraId="6CFD3414" w14:textId="59C9C8A4" w:rsidR="002E6337" w:rsidRPr="00467A92" w:rsidRDefault="002E6337" w:rsidP="002C6D49">
      <w:pPr>
        <w:pStyle w:val="afb"/>
        <w:rPr>
          <w:rFonts w:ascii="Tahoma" w:hAnsi="Tahoma" w:cs="Tahoma"/>
          <w:sz w:val="18"/>
          <w:szCs w:val="18"/>
          <w:lang w:val="en-GB"/>
        </w:rPr>
      </w:pPr>
      <w:r w:rsidRPr="00467A92">
        <w:rPr>
          <w:rStyle w:val="af2"/>
          <w:lang w:val="en-GB"/>
        </w:rPr>
        <w:footnoteRef/>
      </w:r>
      <w:r w:rsidRPr="00467A92">
        <w:rPr>
          <w:lang w:val="en-GB"/>
        </w:rPr>
        <w:t xml:space="preserve"> </w:t>
      </w:r>
      <w:r w:rsidR="002C6D49" w:rsidRPr="00467A92">
        <w:rPr>
          <w:rFonts w:ascii="Tahoma" w:hAnsi="Tahoma" w:cs="Tahoma"/>
          <w:sz w:val="18"/>
          <w:szCs w:val="18"/>
          <w:lang w:val="en-GB"/>
        </w:rPr>
        <w:t>The Report "Ukraine 2023". Accompanying document to the Communication from The Commission to The European Parliament, The Council, The European Economic and Social Committee and The Committee of The Regions Commission. Communication on EU enlargement policy, 2023. Working Document, 08-11-2023</w:t>
      </w:r>
      <w:r w:rsidRPr="00467A92">
        <w:rPr>
          <w:rFonts w:ascii="Tahoma" w:hAnsi="Tahoma" w:cs="Tahoma"/>
          <w:sz w:val="18"/>
          <w:szCs w:val="18"/>
          <w:lang w:val="en-GB"/>
        </w:rPr>
        <w:t>.</w:t>
      </w:r>
      <w:r w:rsidR="002C6D49" w:rsidRPr="00467A92">
        <w:rPr>
          <w:rFonts w:ascii="Tahoma" w:hAnsi="Tahoma" w:cs="Tahoma"/>
          <w:sz w:val="18"/>
          <w:szCs w:val="18"/>
          <w:lang w:val="en-GB"/>
        </w:rPr>
        <w:t xml:space="preserve"> </w:t>
      </w:r>
      <w:hyperlink r:id="rId1" w:history="1">
        <w:r w:rsidR="002C6D49" w:rsidRPr="00467A92">
          <w:rPr>
            <w:rStyle w:val="af3"/>
            <w:rFonts w:ascii="Tahoma" w:hAnsi="Tahoma" w:cs="Tahoma"/>
            <w:sz w:val="18"/>
            <w:szCs w:val="18"/>
            <w:lang w:val="en-GB"/>
          </w:rPr>
          <w:t>https://neighbourhood-enlargement.ec.europa.eu/system/files/2023-11/SWD_2023_699%20Ukraine%20report.pdf</w:t>
        </w:r>
      </w:hyperlink>
      <w:r w:rsidRPr="00467A92">
        <w:rPr>
          <w:lang w:val="en-GB"/>
        </w:rPr>
        <w:t xml:space="preserve"> </w:t>
      </w:r>
    </w:p>
  </w:footnote>
  <w:footnote w:id="4">
    <w:p w14:paraId="58A34F6E" w14:textId="0D722411" w:rsidR="00F43670" w:rsidRPr="0008440B" w:rsidRDefault="00F43670" w:rsidP="00F43670">
      <w:pPr>
        <w:pStyle w:val="Default"/>
        <w:rPr>
          <w:rFonts w:ascii="Tahoma" w:hAnsi="Tahoma" w:cs="Tahoma"/>
          <w:color w:val="auto"/>
          <w:sz w:val="20"/>
          <w:szCs w:val="20"/>
        </w:rPr>
      </w:pPr>
      <w:r w:rsidRPr="0008440B">
        <w:rPr>
          <w:rStyle w:val="af2"/>
        </w:rPr>
        <w:footnoteRef/>
      </w:r>
      <w:r w:rsidRPr="0008440B">
        <w:t xml:space="preserve"> </w:t>
      </w:r>
      <w:r w:rsidRPr="0008440B">
        <w:rPr>
          <w:rFonts w:ascii="Tahoma" w:hAnsi="Tahoma" w:cs="Tahoma"/>
          <w:color w:val="auto"/>
          <w:sz w:val="20"/>
          <w:szCs w:val="20"/>
        </w:rPr>
        <w:t xml:space="preserve">EU Solidarity </w:t>
      </w:r>
      <w:r w:rsidR="00A93BD0" w:rsidRPr="0008440B">
        <w:rPr>
          <w:rFonts w:ascii="Tahoma" w:hAnsi="Tahoma" w:cs="Tahoma"/>
          <w:color w:val="auto"/>
          <w:sz w:val="20"/>
          <w:szCs w:val="20"/>
        </w:rPr>
        <w:t>w</w:t>
      </w:r>
      <w:r w:rsidRPr="0008440B">
        <w:rPr>
          <w:rFonts w:ascii="Tahoma" w:hAnsi="Tahoma" w:cs="Tahoma"/>
          <w:color w:val="auto"/>
          <w:sz w:val="20"/>
          <w:szCs w:val="20"/>
        </w:rPr>
        <w:t>ith Ukraine, StandWithUkraine, October 2023</w:t>
      </w:r>
    </w:p>
  </w:footnote>
  <w:footnote w:id="5">
    <w:p w14:paraId="2C63CC94" w14:textId="5B274AEC" w:rsidR="00F33EFE" w:rsidRPr="0008440B" w:rsidRDefault="00F33EFE">
      <w:pPr>
        <w:pStyle w:val="af0"/>
        <w:rPr>
          <w:lang w:val="en-GB"/>
        </w:rPr>
      </w:pPr>
      <w:r w:rsidRPr="00467A92">
        <w:rPr>
          <w:rStyle w:val="af2"/>
          <w:lang w:val="en-GB"/>
        </w:rPr>
        <w:footnoteRef/>
      </w:r>
      <w:r w:rsidRPr="00467A92">
        <w:rPr>
          <w:lang w:val="en-GB"/>
        </w:rPr>
        <w:t xml:space="preserve"> </w:t>
      </w:r>
      <w:r w:rsidRPr="0008440B">
        <w:rPr>
          <w:lang w:val="en-GB"/>
        </w:rPr>
        <w:t xml:space="preserve">Emergency Situation Report, WHO </w:t>
      </w:r>
      <w:r w:rsidR="00A93BD0" w:rsidRPr="0008440B">
        <w:rPr>
          <w:lang w:val="en-GB"/>
        </w:rPr>
        <w:t>Country</w:t>
      </w:r>
      <w:r w:rsidRPr="0008440B">
        <w:rPr>
          <w:lang w:val="en-GB"/>
        </w:rPr>
        <w:t xml:space="preserve"> Office in Ukraine, 6 October 2023</w:t>
      </w:r>
    </w:p>
  </w:footnote>
  <w:footnote w:id="6">
    <w:p w14:paraId="34A01A56" w14:textId="25FC90E2" w:rsidR="002A1C8E" w:rsidRPr="0008440B" w:rsidRDefault="002A1C8E">
      <w:pPr>
        <w:pStyle w:val="af0"/>
        <w:rPr>
          <w:lang w:val="en-GB"/>
        </w:rPr>
      </w:pPr>
      <w:r w:rsidRPr="00467A92">
        <w:rPr>
          <w:rStyle w:val="af2"/>
          <w:lang w:val="en-GB"/>
        </w:rPr>
        <w:footnoteRef/>
      </w:r>
      <w:r w:rsidRPr="00467A92">
        <w:rPr>
          <w:lang w:val="en-GB"/>
        </w:rPr>
        <w:t xml:space="preserve"> Ukraine Rapid Damage and Needs Assessment, August 2022, World Bank, Government of Ukraine,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648E" w14:textId="2A2A2E61" w:rsidR="00ED3883" w:rsidRDefault="00A9728D" w:rsidP="00ED3883">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noProof/>
        <w:sz w:val="28"/>
        <w:szCs w:val="28"/>
      </w:rPr>
      <w:drawing>
        <wp:anchor distT="0" distB="0" distL="114300" distR="114300" simplePos="0" relativeHeight="251670528" behindDoc="1" locked="0" layoutInCell="1" allowOverlap="1" wp14:anchorId="40596737" wp14:editId="4EF35A43">
          <wp:simplePos x="0" y="0"/>
          <wp:positionH relativeFrom="column">
            <wp:posOffset>-22860</wp:posOffset>
          </wp:positionH>
          <wp:positionV relativeFrom="paragraph">
            <wp:posOffset>-91440</wp:posOffset>
          </wp:positionV>
          <wp:extent cx="2080260" cy="306070"/>
          <wp:effectExtent l="0" t="0" r="0" b="0"/>
          <wp:wrapNone/>
          <wp:docPr id="1288258544" name="Рисунок 128825854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l="6402" t="39727" r="9131" b="41455"/>
                  <a:stretch>
                    <a:fillRect/>
                  </a:stretch>
                </pic:blipFill>
                <pic:spPr>
                  <a:xfrm>
                    <a:off x="0" y="0"/>
                    <a:ext cx="2080260" cy="3060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hidden="0" allowOverlap="1" wp14:anchorId="51B1ADF2" wp14:editId="6915DAD4">
          <wp:simplePos x="0" y="0"/>
          <wp:positionH relativeFrom="column">
            <wp:posOffset>4145280</wp:posOffset>
          </wp:positionH>
          <wp:positionV relativeFrom="paragraph">
            <wp:posOffset>-83820</wp:posOffset>
          </wp:positionV>
          <wp:extent cx="998220" cy="336550"/>
          <wp:effectExtent l="0" t="0" r="0" b="6350"/>
          <wp:wrapNone/>
          <wp:docPr id="1259123967" name="Рисунок 125912396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1016" t="-1" r="-11016" b="-15093"/>
                  <a:stretch>
                    <a:fillRect/>
                  </a:stretch>
                </pic:blipFill>
                <pic:spPr>
                  <a:xfrm>
                    <a:off x="0" y="0"/>
                    <a:ext cx="998220" cy="3365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8480" behindDoc="0" locked="0" layoutInCell="1" hidden="0" allowOverlap="1" wp14:anchorId="2B861068" wp14:editId="17A2376F">
          <wp:simplePos x="0" y="0"/>
          <wp:positionH relativeFrom="column">
            <wp:posOffset>5074920</wp:posOffset>
          </wp:positionH>
          <wp:positionV relativeFrom="paragraph">
            <wp:posOffset>-160020</wp:posOffset>
          </wp:positionV>
          <wp:extent cx="1417320" cy="373380"/>
          <wp:effectExtent l="0" t="0" r="0" b="0"/>
          <wp:wrapNone/>
          <wp:docPr id="1672912949" name="Рисунок 167291294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17320" cy="373380"/>
                  </a:xfrm>
                  <a:prstGeom prst="rect">
                    <a:avLst/>
                  </a:prstGeom>
                  <a:ln/>
                </pic:spPr>
              </pic:pic>
            </a:graphicData>
          </a:graphic>
          <wp14:sizeRelH relativeFrom="margin">
            <wp14:pctWidth>0</wp14:pctWidth>
          </wp14:sizeRelH>
          <wp14:sizeRelV relativeFrom="margin">
            <wp14:pctHeight>0</wp14:pctHeight>
          </wp14:sizeRelV>
        </wp:anchor>
      </w:drawing>
    </w:r>
    <w:r w:rsidR="00ED3883">
      <w:rPr>
        <w:rFonts w:ascii="Arial" w:eastAsia="Arial" w:hAnsi="Arial" w:cs="Arial"/>
        <w:b/>
        <w:sz w:val="28"/>
        <w:szCs w:val="28"/>
      </w:rPr>
      <w:t xml:space="preserve">                   </w:t>
    </w:r>
  </w:p>
  <w:p w14:paraId="665480BD" w14:textId="77777777" w:rsidR="00ED3883" w:rsidRPr="00DD4E8B" w:rsidRDefault="00ED3883" w:rsidP="00ED3883">
    <w:pPr>
      <w:spacing w:before="60" w:after="60"/>
      <w:jc w:val="center"/>
      <w:rPr>
        <w:rFonts w:ascii="Arial" w:hAnsi="Arial"/>
        <w:bCs/>
        <w:caps/>
        <w:color w:val="17365D"/>
        <w:szCs w:val="24"/>
        <w:lang w:val="en-GB" w:eastAsia="en-GB"/>
      </w:rPr>
    </w:pPr>
    <w:r w:rsidRPr="00DD4E8B">
      <w:rPr>
        <w:rFonts w:ascii="Arial" w:hAnsi="Arial"/>
        <w:bCs/>
        <w:caps/>
        <w:color w:val="17365D"/>
        <w:szCs w:val="24"/>
        <w:lang w:val="en-GB" w:eastAsia="en-GB"/>
      </w:rPr>
      <w:t>Support to Ukraine for Developing A Modern Public Health System</w:t>
    </w:r>
  </w:p>
  <w:p w14:paraId="52DBB4BE" w14:textId="7547D229" w:rsidR="00ED3883" w:rsidRPr="00DD4E8B" w:rsidRDefault="00ED3883" w:rsidP="00ED3883">
    <w:pPr>
      <w:jc w:val="center"/>
      <w:rPr>
        <w:rFonts w:ascii="Arial" w:hAnsi="Arial"/>
        <w:color w:val="F79646"/>
        <w:sz w:val="16"/>
        <w:szCs w:val="16"/>
        <w:lang w:val="en-GB" w:eastAsia="en-GB"/>
      </w:rPr>
    </w:pPr>
    <w:r w:rsidRPr="00DD4E8B">
      <w:rPr>
        <w:rFonts w:ascii="Arial" w:hAnsi="Arial"/>
        <w:color w:val="F79646"/>
        <w:sz w:val="16"/>
        <w:szCs w:val="16"/>
        <w:lang w:eastAsia="en-GB"/>
      </w:rPr>
      <w:t>Funded by the European Union and implemented by a consortium led by GFA Consulting Group GmbH</w:t>
    </w:r>
    <w:r w:rsidR="00A9728D">
      <w:rPr>
        <w:rFonts w:ascii="Arial" w:hAnsi="Arial"/>
        <w:color w:val="F79646"/>
        <w:sz w:val="16"/>
        <w:szCs w:val="16"/>
        <w:lang w:eastAsia="en-GB"/>
      </w:rPr>
      <w:t xml:space="preserve"> and THL</w:t>
    </w:r>
  </w:p>
  <w:tbl>
    <w:tblPr>
      <w:tblStyle w:val="a6"/>
      <w:tblW w:w="10543" w:type="dxa"/>
      <w:tblInd w:w="-426" w:type="dxa"/>
      <w:tblLayout w:type="fixed"/>
      <w:tblLook w:val="0400" w:firstRow="0" w:lastRow="0" w:firstColumn="0" w:lastColumn="0" w:noHBand="0" w:noVBand="1"/>
    </w:tblPr>
    <w:tblGrid>
      <w:gridCol w:w="10543"/>
    </w:tblGrid>
    <w:tr w:rsidR="00E31DC6" w14:paraId="74C5D7E5" w14:textId="77777777" w:rsidTr="00283F6C">
      <w:tc>
        <w:tcPr>
          <w:tcW w:w="10543" w:type="dxa"/>
          <w:tcBorders>
            <w:bottom w:val="single" w:sz="4" w:space="0" w:color="1F497D"/>
          </w:tcBorders>
        </w:tcPr>
        <w:p w14:paraId="0E1272AC" w14:textId="77777777" w:rsidR="00E31DC6" w:rsidRPr="00ED3883" w:rsidRDefault="00E31DC6" w:rsidP="00E31DC6">
          <w:pPr>
            <w:rPr>
              <w:rFonts w:ascii="Calibri" w:eastAsia="Calibri" w:hAnsi="Calibri" w:cs="Calibri"/>
              <w:sz w:val="16"/>
              <w:szCs w:val="16"/>
              <w:lang w:val="en-GB"/>
            </w:rPr>
          </w:pPr>
        </w:p>
      </w:tc>
    </w:tr>
  </w:tbl>
  <w:p w14:paraId="14558647" w14:textId="77777777" w:rsidR="00EB1089" w:rsidRPr="00EB1089" w:rsidRDefault="00EB1089" w:rsidP="00EB1089">
    <w:pPr>
      <w:jc w:val="center"/>
      <w:rPr>
        <w:color w:val="948A54" w:themeColor="background2" w:themeShade="80"/>
        <w:sz w:val="16"/>
        <w:szCs w:val="16"/>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6066" w14:textId="77777777" w:rsidR="00523D8F" w:rsidRDefault="00523D8F" w:rsidP="00523D8F">
    <w:pPr>
      <w:widowControl w:val="0"/>
      <w:pBdr>
        <w:top w:val="nil"/>
        <w:left w:val="nil"/>
        <w:bottom w:val="nil"/>
        <w:right w:val="nil"/>
        <w:between w:val="nil"/>
      </w:pBdr>
      <w:spacing w:line="276" w:lineRule="auto"/>
      <w:rPr>
        <w:rFonts w:ascii="Arial" w:eastAsia="Arial" w:hAnsi="Arial" w:cs="Arial"/>
        <w:b/>
        <w:sz w:val="28"/>
        <w:szCs w:val="28"/>
      </w:rPr>
    </w:pPr>
    <w:bookmarkStart w:id="9" w:name="_Hlk53055774"/>
    <w:bookmarkStart w:id="10" w:name="_Hlk26430226"/>
    <w:r>
      <w:rPr>
        <w:noProof/>
      </w:rPr>
      <w:drawing>
        <wp:anchor distT="0" distB="0" distL="114300" distR="114300" simplePos="0" relativeHeight="251665408" behindDoc="0" locked="0" layoutInCell="1" hidden="0" allowOverlap="1" wp14:anchorId="14740A0B" wp14:editId="42B1FF12">
          <wp:simplePos x="0" y="0"/>
          <wp:positionH relativeFrom="column">
            <wp:posOffset>4015740</wp:posOffset>
          </wp:positionH>
          <wp:positionV relativeFrom="paragraph">
            <wp:posOffset>-137160</wp:posOffset>
          </wp:positionV>
          <wp:extent cx="1097280" cy="389890"/>
          <wp:effectExtent l="0" t="0" r="0" b="0"/>
          <wp:wrapNone/>
          <wp:docPr id="967660979" name="Рисунок 96766097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016" t="-1" r="-11016" b="-15093"/>
                  <a:stretch>
                    <a:fillRect/>
                  </a:stretch>
                </pic:blipFill>
                <pic:spPr>
                  <a:xfrm>
                    <a:off x="0" y="0"/>
                    <a:ext cx="1097280" cy="3898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4384" behindDoc="0" locked="0" layoutInCell="1" hidden="0" allowOverlap="1" wp14:anchorId="41931C6C" wp14:editId="43B62EA1">
          <wp:simplePos x="0" y="0"/>
          <wp:positionH relativeFrom="column">
            <wp:posOffset>5074920</wp:posOffset>
          </wp:positionH>
          <wp:positionV relativeFrom="paragraph">
            <wp:posOffset>-212090</wp:posOffset>
          </wp:positionV>
          <wp:extent cx="1576070" cy="426720"/>
          <wp:effectExtent l="0" t="0" r="0" b="0"/>
          <wp:wrapNone/>
          <wp:docPr id="366603468" name="Рисунок 36660346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6070" cy="426720"/>
                  </a:xfrm>
                  <a:prstGeom prst="rect">
                    <a:avLst/>
                  </a:prstGeom>
                  <a:ln/>
                </pic:spPr>
              </pic:pic>
            </a:graphicData>
          </a:graphic>
        </wp:anchor>
      </w:drawing>
    </w:r>
    <w:r>
      <w:rPr>
        <w:rFonts w:ascii="Arial" w:eastAsia="Arial" w:hAnsi="Arial" w:cs="Arial"/>
        <w:b/>
        <w:noProof/>
        <w:sz w:val="28"/>
        <w:szCs w:val="28"/>
      </w:rPr>
      <w:drawing>
        <wp:anchor distT="0" distB="0" distL="114300" distR="114300" simplePos="0" relativeHeight="251666432" behindDoc="1" locked="0" layoutInCell="1" allowOverlap="1" wp14:anchorId="3F27B6B2" wp14:editId="7198AD31">
          <wp:simplePos x="0" y="0"/>
          <wp:positionH relativeFrom="column">
            <wp:posOffset>-22860</wp:posOffset>
          </wp:positionH>
          <wp:positionV relativeFrom="paragraph">
            <wp:posOffset>-114300</wp:posOffset>
          </wp:positionV>
          <wp:extent cx="2171700" cy="328930"/>
          <wp:effectExtent l="0" t="0" r="0" b="0"/>
          <wp:wrapNone/>
          <wp:docPr id="843103598" name="Рисунок 84310359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extLst>
                      <a:ext uri="{28A0092B-C50C-407E-A947-70E740481C1C}">
                        <a14:useLocalDpi xmlns:a14="http://schemas.microsoft.com/office/drawing/2010/main" val="0"/>
                      </a:ext>
                    </a:extLst>
                  </a:blip>
                  <a:srcRect l="6402" t="39727" r="9131" b="41455"/>
                  <a:stretch>
                    <a:fillRect/>
                  </a:stretch>
                </pic:blipFill>
                <pic:spPr>
                  <a:xfrm>
                    <a:off x="0" y="0"/>
                    <a:ext cx="2171700" cy="328930"/>
                  </a:xfrm>
                  <a:prstGeom prst="rect">
                    <a:avLst/>
                  </a:prstGeom>
                  <a:ln/>
                </pic:spPr>
              </pic:pic>
            </a:graphicData>
          </a:graphic>
        </wp:anchor>
      </w:drawing>
    </w:r>
    <w:r>
      <w:rPr>
        <w:rFonts w:ascii="Arial" w:eastAsia="Arial" w:hAnsi="Arial" w:cs="Arial"/>
        <w:b/>
        <w:sz w:val="28"/>
        <w:szCs w:val="28"/>
      </w:rPr>
      <w:t xml:space="preserve">                   </w:t>
    </w:r>
    <w:bookmarkStart w:id="11" w:name="_gjdgxs" w:colFirst="0" w:colLast="0"/>
    <w:bookmarkEnd w:id="11"/>
  </w:p>
  <w:bookmarkEnd w:id="9"/>
  <w:p w14:paraId="53FA0D9C" w14:textId="77777777" w:rsidR="00523D8F" w:rsidRPr="00DD4E8B" w:rsidRDefault="00523D8F" w:rsidP="00523D8F">
    <w:pPr>
      <w:spacing w:before="60" w:after="60"/>
      <w:jc w:val="center"/>
      <w:rPr>
        <w:rFonts w:ascii="Arial" w:hAnsi="Arial"/>
        <w:bCs/>
        <w:caps/>
        <w:color w:val="17365D"/>
        <w:szCs w:val="24"/>
        <w:lang w:val="en-GB" w:eastAsia="en-GB"/>
      </w:rPr>
    </w:pPr>
    <w:r w:rsidRPr="00DD4E8B">
      <w:rPr>
        <w:rFonts w:ascii="Arial" w:hAnsi="Arial"/>
        <w:bCs/>
        <w:caps/>
        <w:color w:val="17365D"/>
        <w:szCs w:val="24"/>
        <w:lang w:val="en-GB" w:eastAsia="en-GB"/>
      </w:rPr>
      <w:t>Support to Ukraine for Developing A Modern Public Health System</w:t>
    </w:r>
  </w:p>
  <w:p w14:paraId="3AE8EA5F" w14:textId="77777777" w:rsidR="00523D8F" w:rsidRPr="00DD4E8B" w:rsidRDefault="00523D8F" w:rsidP="00523D8F">
    <w:pPr>
      <w:jc w:val="center"/>
      <w:rPr>
        <w:rFonts w:ascii="Arial" w:hAnsi="Arial"/>
        <w:color w:val="F79646"/>
        <w:sz w:val="16"/>
        <w:szCs w:val="16"/>
        <w:lang w:val="en-GB" w:eastAsia="en-GB"/>
      </w:rPr>
    </w:pPr>
    <w:r w:rsidRPr="00DD4E8B">
      <w:rPr>
        <w:rFonts w:ascii="Arial" w:hAnsi="Arial"/>
        <w:color w:val="F79646"/>
        <w:sz w:val="16"/>
        <w:szCs w:val="16"/>
        <w:lang w:eastAsia="en-GB"/>
      </w:rPr>
      <w:t>Funded by the European Union and implemented by a consortium led by GFA Consulting Group GmbH</w:t>
    </w:r>
  </w:p>
  <w:bookmarkEnd w:id="10"/>
  <w:tbl>
    <w:tblPr>
      <w:tblStyle w:val="a6"/>
      <w:tblW w:w="10543" w:type="dxa"/>
      <w:tblInd w:w="-426" w:type="dxa"/>
      <w:tblLayout w:type="fixed"/>
      <w:tblLook w:val="0400" w:firstRow="0" w:lastRow="0" w:firstColumn="0" w:lastColumn="0" w:noHBand="0" w:noVBand="1"/>
    </w:tblPr>
    <w:tblGrid>
      <w:gridCol w:w="10543"/>
    </w:tblGrid>
    <w:tr w:rsidR="00C10E33" w14:paraId="0AFDA440" w14:textId="77777777">
      <w:tc>
        <w:tcPr>
          <w:tcW w:w="10543" w:type="dxa"/>
          <w:tcBorders>
            <w:bottom w:val="single" w:sz="4" w:space="0" w:color="1F497D"/>
          </w:tcBorders>
        </w:tcPr>
        <w:p w14:paraId="4EC231CF" w14:textId="77777777" w:rsidR="00C10E33" w:rsidRPr="00523D8F" w:rsidRDefault="00C10E33">
          <w:pPr>
            <w:rPr>
              <w:rFonts w:ascii="Calibri" w:eastAsia="Calibri" w:hAnsi="Calibri" w:cs="Calibri"/>
              <w:sz w:val="16"/>
              <w:szCs w:val="16"/>
              <w:lang w:val="en-GB"/>
            </w:rPr>
          </w:pPr>
        </w:p>
      </w:tc>
    </w:tr>
  </w:tbl>
  <w:p w14:paraId="3F92DAC1" w14:textId="77777777" w:rsidR="00C10E33" w:rsidRDefault="00C10E33">
    <w:pPr>
      <w:pBdr>
        <w:top w:val="nil"/>
        <w:left w:val="nil"/>
        <w:bottom w:val="nil"/>
        <w:right w:val="nil"/>
        <w:between w:val="nil"/>
      </w:pBdr>
      <w:tabs>
        <w:tab w:val="center" w:pos="4844"/>
        <w:tab w:val="right" w:pos="968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66057"/>
    <w:multiLevelType w:val="hybridMultilevel"/>
    <w:tmpl w:val="AAD6C6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C51E5"/>
    <w:multiLevelType w:val="hybridMultilevel"/>
    <w:tmpl w:val="10A8517E"/>
    <w:lvl w:ilvl="0" w:tplc="B87AC2EE">
      <w:numFmt w:val="bullet"/>
      <w:lvlText w:val="•"/>
      <w:lvlJc w:val="left"/>
      <w:pPr>
        <w:ind w:left="383" w:hanging="383"/>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E01E7"/>
    <w:multiLevelType w:val="hybridMultilevel"/>
    <w:tmpl w:val="33CED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E76FE"/>
    <w:multiLevelType w:val="hybridMultilevel"/>
    <w:tmpl w:val="8BB8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C149F"/>
    <w:multiLevelType w:val="hybridMultilevel"/>
    <w:tmpl w:val="EBFEF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D7013"/>
    <w:multiLevelType w:val="hybridMultilevel"/>
    <w:tmpl w:val="84124292"/>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C31C3E"/>
    <w:multiLevelType w:val="hybridMultilevel"/>
    <w:tmpl w:val="6BFA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A02C2"/>
    <w:multiLevelType w:val="hybridMultilevel"/>
    <w:tmpl w:val="598CA574"/>
    <w:lvl w:ilvl="0" w:tplc="92B49D7E">
      <w:start w:val="1"/>
      <w:numFmt w:val="decimal"/>
      <w:lvlText w:val="%1."/>
      <w:lvlJc w:val="left"/>
      <w:pPr>
        <w:ind w:left="813" w:hanging="360"/>
      </w:pPr>
      <w:rPr>
        <w:rFonts w:hint="default"/>
        <w:b/>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8" w15:restartNumberingAfterBreak="0">
    <w:nsid w:val="174A1893"/>
    <w:multiLevelType w:val="hybridMultilevel"/>
    <w:tmpl w:val="FEC09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00970"/>
    <w:multiLevelType w:val="hybridMultilevel"/>
    <w:tmpl w:val="94E210EC"/>
    <w:lvl w:ilvl="0" w:tplc="0D7251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03E78"/>
    <w:multiLevelType w:val="hybridMultilevel"/>
    <w:tmpl w:val="74681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502952"/>
    <w:multiLevelType w:val="hybridMultilevel"/>
    <w:tmpl w:val="F8465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7FA6028"/>
    <w:multiLevelType w:val="hybridMultilevel"/>
    <w:tmpl w:val="61F206E2"/>
    <w:lvl w:ilvl="0" w:tplc="21040C48">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8417F80"/>
    <w:multiLevelType w:val="multilevel"/>
    <w:tmpl w:val="41AAA370"/>
    <w:lvl w:ilvl="0">
      <w:start w:val="1"/>
      <w:numFmt w:val="decimal"/>
      <w:lvlText w:val="%1."/>
      <w:lvlJc w:val="left"/>
      <w:pPr>
        <w:ind w:left="360" w:hanging="360"/>
      </w:pPr>
      <w:rPr>
        <w:rFonts w:ascii="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B0807CF"/>
    <w:multiLevelType w:val="hybridMultilevel"/>
    <w:tmpl w:val="9EAED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31900"/>
    <w:multiLevelType w:val="hybridMultilevel"/>
    <w:tmpl w:val="A71E9848"/>
    <w:lvl w:ilvl="0" w:tplc="4ECAFE84">
      <w:start w:val="1"/>
      <w:numFmt w:val="bullet"/>
      <w:lvlText w:val=""/>
      <w:lvlJc w:val="left"/>
      <w:pPr>
        <w:ind w:left="360" w:hanging="360"/>
      </w:pPr>
      <w:rPr>
        <w:rFonts w:ascii="Symbol" w:hAnsi="Symbol" w:hint="default"/>
        <w:b/>
        <w:color w:val="auto"/>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2297117"/>
    <w:multiLevelType w:val="hybridMultilevel"/>
    <w:tmpl w:val="2D74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574D0"/>
    <w:multiLevelType w:val="hybridMultilevel"/>
    <w:tmpl w:val="240C2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EF6960"/>
    <w:multiLevelType w:val="hybridMultilevel"/>
    <w:tmpl w:val="84124292"/>
    <w:lvl w:ilvl="0" w:tplc="8C422AE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B31EA"/>
    <w:multiLevelType w:val="hybridMultilevel"/>
    <w:tmpl w:val="1B7A9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2736A7"/>
    <w:multiLevelType w:val="hybridMultilevel"/>
    <w:tmpl w:val="14B49BE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62D1306B"/>
    <w:multiLevelType w:val="hybridMultilevel"/>
    <w:tmpl w:val="61462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9843B1"/>
    <w:multiLevelType w:val="hybridMultilevel"/>
    <w:tmpl w:val="403CA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D22897"/>
    <w:multiLevelType w:val="hybridMultilevel"/>
    <w:tmpl w:val="C96E1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E3E687E"/>
    <w:multiLevelType w:val="hybridMultilevel"/>
    <w:tmpl w:val="027EEE70"/>
    <w:lvl w:ilvl="0" w:tplc="09D6C5E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0E0AC0"/>
    <w:multiLevelType w:val="hybridMultilevel"/>
    <w:tmpl w:val="2DD8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26318732">
    <w:abstractNumId w:val="8"/>
  </w:num>
  <w:num w:numId="2" w16cid:durableId="881942912">
    <w:abstractNumId w:val="25"/>
  </w:num>
  <w:num w:numId="3" w16cid:durableId="486672866">
    <w:abstractNumId w:val="2"/>
  </w:num>
  <w:num w:numId="4" w16cid:durableId="80027597">
    <w:abstractNumId w:val="12"/>
  </w:num>
  <w:num w:numId="5" w16cid:durableId="914702606">
    <w:abstractNumId w:val="3"/>
  </w:num>
  <w:num w:numId="6" w16cid:durableId="1594123583">
    <w:abstractNumId w:val="22"/>
  </w:num>
  <w:num w:numId="7" w16cid:durableId="469372684">
    <w:abstractNumId w:val="7"/>
  </w:num>
  <w:num w:numId="8" w16cid:durableId="576284324">
    <w:abstractNumId w:val="17"/>
  </w:num>
  <w:num w:numId="9" w16cid:durableId="1199588634">
    <w:abstractNumId w:val="19"/>
  </w:num>
  <w:num w:numId="10" w16cid:durableId="385564687">
    <w:abstractNumId w:val="10"/>
  </w:num>
  <w:num w:numId="11" w16cid:durableId="1473257313">
    <w:abstractNumId w:val="4"/>
  </w:num>
  <w:num w:numId="12" w16cid:durableId="1844473726">
    <w:abstractNumId w:val="21"/>
  </w:num>
  <w:num w:numId="13" w16cid:durableId="2443388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532563">
    <w:abstractNumId w:val="23"/>
  </w:num>
  <w:num w:numId="15" w16cid:durableId="842279670">
    <w:abstractNumId w:val="11"/>
  </w:num>
  <w:num w:numId="16" w16cid:durableId="1370765599">
    <w:abstractNumId w:val="20"/>
  </w:num>
  <w:num w:numId="17" w16cid:durableId="1906525248">
    <w:abstractNumId w:val="24"/>
  </w:num>
  <w:num w:numId="18" w16cid:durableId="832717425">
    <w:abstractNumId w:val="0"/>
  </w:num>
  <w:num w:numId="19" w16cid:durableId="1192181765">
    <w:abstractNumId w:val="16"/>
  </w:num>
  <w:num w:numId="20" w16cid:durableId="775173330">
    <w:abstractNumId w:val="6"/>
  </w:num>
  <w:num w:numId="21" w16cid:durableId="1548181715">
    <w:abstractNumId w:val="14"/>
  </w:num>
  <w:num w:numId="22" w16cid:durableId="1587693050">
    <w:abstractNumId w:val="15"/>
  </w:num>
  <w:num w:numId="23" w16cid:durableId="953318884">
    <w:abstractNumId w:val="9"/>
  </w:num>
  <w:num w:numId="24" w16cid:durableId="1438477556">
    <w:abstractNumId w:val="1"/>
  </w:num>
  <w:num w:numId="25" w16cid:durableId="1583560472">
    <w:abstractNumId w:val="18"/>
  </w:num>
  <w:num w:numId="26" w16cid:durableId="1729307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33"/>
    <w:rsid w:val="00000AA6"/>
    <w:rsid w:val="00007052"/>
    <w:rsid w:val="00007125"/>
    <w:rsid w:val="00007DD3"/>
    <w:rsid w:val="00013BCB"/>
    <w:rsid w:val="00024F26"/>
    <w:rsid w:val="00026F3C"/>
    <w:rsid w:val="000308DD"/>
    <w:rsid w:val="00034A55"/>
    <w:rsid w:val="00054E23"/>
    <w:rsid w:val="0005537C"/>
    <w:rsid w:val="00064CE9"/>
    <w:rsid w:val="000762F1"/>
    <w:rsid w:val="0007653A"/>
    <w:rsid w:val="00077B2C"/>
    <w:rsid w:val="0008440B"/>
    <w:rsid w:val="000B641D"/>
    <w:rsid w:val="000D6740"/>
    <w:rsid w:val="000E3FF6"/>
    <w:rsid w:val="000F0925"/>
    <w:rsid w:val="000F6813"/>
    <w:rsid w:val="0011472A"/>
    <w:rsid w:val="001258EB"/>
    <w:rsid w:val="001414B8"/>
    <w:rsid w:val="00141E89"/>
    <w:rsid w:val="00145051"/>
    <w:rsid w:val="00147E4E"/>
    <w:rsid w:val="00152AA2"/>
    <w:rsid w:val="00161D16"/>
    <w:rsid w:val="001649DE"/>
    <w:rsid w:val="001704CB"/>
    <w:rsid w:val="001715FF"/>
    <w:rsid w:val="001838EE"/>
    <w:rsid w:val="00185B72"/>
    <w:rsid w:val="00186798"/>
    <w:rsid w:val="001A23CE"/>
    <w:rsid w:val="001B4F3A"/>
    <w:rsid w:val="001B5725"/>
    <w:rsid w:val="001C1B8D"/>
    <w:rsid w:val="001E455C"/>
    <w:rsid w:val="001E47CD"/>
    <w:rsid w:val="0021291C"/>
    <w:rsid w:val="002236B3"/>
    <w:rsid w:val="00226D77"/>
    <w:rsid w:val="0024712A"/>
    <w:rsid w:val="00250DB7"/>
    <w:rsid w:val="00264A1E"/>
    <w:rsid w:val="00266771"/>
    <w:rsid w:val="00267B56"/>
    <w:rsid w:val="00274991"/>
    <w:rsid w:val="0027608C"/>
    <w:rsid w:val="002A1989"/>
    <w:rsid w:val="002A1C8E"/>
    <w:rsid w:val="002B7332"/>
    <w:rsid w:val="002C4B1E"/>
    <w:rsid w:val="002C6D49"/>
    <w:rsid w:val="002C6D54"/>
    <w:rsid w:val="002D15B1"/>
    <w:rsid w:val="002E6337"/>
    <w:rsid w:val="002F18D2"/>
    <w:rsid w:val="002F5890"/>
    <w:rsid w:val="002F67C9"/>
    <w:rsid w:val="00304C7F"/>
    <w:rsid w:val="00310C48"/>
    <w:rsid w:val="0031254F"/>
    <w:rsid w:val="00313680"/>
    <w:rsid w:val="003153BF"/>
    <w:rsid w:val="00320782"/>
    <w:rsid w:val="003308C1"/>
    <w:rsid w:val="00335303"/>
    <w:rsid w:val="0033542B"/>
    <w:rsid w:val="003448FB"/>
    <w:rsid w:val="003676DB"/>
    <w:rsid w:val="00373564"/>
    <w:rsid w:val="00377407"/>
    <w:rsid w:val="003821FE"/>
    <w:rsid w:val="00384F3B"/>
    <w:rsid w:val="00386BB5"/>
    <w:rsid w:val="00387683"/>
    <w:rsid w:val="003940E8"/>
    <w:rsid w:val="003977DC"/>
    <w:rsid w:val="003B0FE9"/>
    <w:rsid w:val="003C0FDA"/>
    <w:rsid w:val="003D090D"/>
    <w:rsid w:val="003D5B14"/>
    <w:rsid w:val="003E1DA8"/>
    <w:rsid w:val="003F6DDA"/>
    <w:rsid w:val="004004F5"/>
    <w:rsid w:val="004013BC"/>
    <w:rsid w:val="0041776F"/>
    <w:rsid w:val="00435D86"/>
    <w:rsid w:val="00437E02"/>
    <w:rsid w:val="00440263"/>
    <w:rsid w:val="00460CAF"/>
    <w:rsid w:val="004613DB"/>
    <w:rsid w:val="00467A92"/>
    <w:rsid w:val="00473AAA"/>
    <w:rsid w:val="00485790"/>
    <w:rsid w:val="004931D1"/>
    <w:rsid w:val="004A0DEF"/>
    <w:rsid w:val="004A56A2"/>
    <w:rsid w:val="004B17C0"/>
    <w:rsid w:val="004C5139"/>
    <w:rsid w:val="004C5370"/>
    <w:rsid w:val="004C5CDA"/>
    <w:rsid w:val="004D6224"/>
    <w:rsid w:val="004D69B5"/>
    <w:rsid w:val="004E35DD"/>
    <w:rsid w:val="004F05A9"/>
    <w:rsid w:val="00504F4E"/>
    <w:rsid w:val="00513AD9"/>
    <w:rsid w:val="00516E84"/>
    <w:rsid w:val="00523D8F"/>
    <w:rsid w:val="00531646"/>
    <w:rsid w:val="00537585"/>
    <w:rsid w:val="00542BAF"/>
    <w:rsid w:val="005447A5"/>
    <w:rsid w:val="0054584E"/>
    <w:rsid w:val="00570B4F"/>
    <w:rsid w:val="005715D7"/>
    <w:rsid w:val="0059260C"/>
    <w:rsid w:val="005A1CC2"/>
    <w:rsid w:val="005D12CE"/>
    <w:rsid w:val="005D4C51"/>
    <w:rsid w:val="005F6436"/>
    <w:rsid w:val="00621B1D"/>
    <w:rsid w:val="0062541D"/>
    <w:rsid w:val="00643863"/>
    <w:rsid w:val="00665EA8"/>
    <w:rsid w:val="00666074"/>
    <w:rsid w:val="00674AE7"/>
    <w:rsid w:val="00677B58"/>
    <w:rsid w:val="006828CA"/>
    <w:rsid w:val="00683A9B"/>
    <w:rsid w:val="006900F7"/>
    <w:rsid w:val="006B241B"/>
    <w:rsid w:val="006D40C6"/>
    <w:rsid w:val="006D4237"/>
    <w:rsid w:val="007234E6"/>
    <w:rsid w:val="00745A23"/>
    <w:rsid w:val="00777567"/>
    <w:rsid w:val="007A284E"/>
    <w:rsid w:val="007A4805"/>
    <w:rsid w:val="007C0E5D"/>
    <w:rsid w:val="007D56FE"/>
    <w:rsid w:val="007F061A"/>
    <w:rsid w:val="008106BD"/>
    <w:rsid w:val="00811634"/>
    <w:rsid w:val="00815790"/>
    <w:rsid w:val="008178DF"/>
    <w:rsid w:val="008327E1"/>
    <w:rsid w:val="008766AE"/>
    <w:rsid w:val="00887E2A"/>
    <w:rsid w:val="008A6288"/>
    <w:rsid w:val="008C3F93"/>
    <w:rsid w:val="008D4FB6"/>
    <w:rsid w:val="008D6CA1"/>
    <w:rsid w:val="009040F0"/>
    <w:rsid w:val="00917738"/>
    <w:rsid w:val="0093695D"/>
    <w:rsid w:val="009454BF"/>
    <w:rsid w:val="0095237E"/>
    <w:rsid w:val="00967849"/>
    <w:rsid w:val="009A4CCE"/>
    <w:rsid w:val="009B04F4"/>
    <w:rsid w:val="009B17E7"/>
    <w:rsid w:val="009C0675"/>
    <w:rsid w:val="009C10C9"/>
    <w:rsid w:val="009C3222"/>
    <w:rsid w:val="009E6D49"/>
    <w:rsid w:val="009F08C2"/>
    <w:rsid w:val="00A004EE"/>
    <w:rsid w:val="00A12B89"/>
    <w:rsid w:val="00A241E0"/>
    <w:rsid w:val="00A34A1B"/>
    <w:rsid w:val="00A40005"/>
    <w:rsid w:val="00A409A5"/>
    <w:rsid w:val="00A50076"/>
    <w:rsid w:val="00A51555"/>
    <w:rsid w:val="00A6065B"/>
    <w:rsid w:val="00A634F0"/>
    <w:rsid w:val="00A672A9"/>
    <w:rsid w:val="00A839EB"/>
    <w:rsid w:val="00A864E1"/>
    <w:rsid w:val="00A87973"/>
    <w:rsid w:val="00A93BD0"/>
    <w:rsid w:val="00A945A4"/>
    <w:rsid w:val="00A9728D"/>
    <w:rsid w:val="00AA0216"/>
    <w:rsid w:val="00AC39B1"/>
    <w:rsid w:val="00AD4E6F"/>
    <w:rsid w:val="00B04B66"/>
    <w:rsid w:val="00B05FCA"/>
    <w:rsid w:val="00B14A1B"/>
    <w:rsid w:val="00B17BFE"/>
    <w:rsid w:val="00B20A2F"/>
    <w:rsid w:val="00B22364"/>
    <w:rsid w:val="00B22DA6"/>
    <w:rsid w:val="00B44E95"/>
    <w:rsid w:val="00B46B05"/>
    <w:rsid w:val="00B46DE0"/>
    <w:rsid w:val="00B548C9"/>
    <w:rsid w:val="00B70905"/>
    <w:rsid w:val="00B7263A"/>
    <w:rsid w:val="00B75114"/>
    <w:rsid w:val="00B76ABC"/>
    <w:rsid w:val="00B81EA1"/>
    <w:rsid w:val="00B9660B"/>
    <w:rsid w:val="00B9787F"/>
    <w:rsid w:val="00BA4D75"/>
    <w:rsid w:val="00BB188A"/>
    <w:rsid w:val="00BB18E8"/>
    <w:rsid w:val="00BB27B9"/>
    <w:rsid w:val="00BB3ECA"/>
    <w:rsid w:val="00BB472C"/>
    <w:rsid w:val="00BB47A2"/>
    <w:rsid w:val="00BB7D61"/>
    <w:rsid w:val="00BD2765"/>
    <w:rsid w:val="00BE6C00"/>
    <w:rsid w:val="00BF2A1A"/>
    <w:rsid w:val="00BF7307"/>
    <w:rsid w:val="00C10A2B"/>
    <w:rsid w:val="00C10E33"/>
    <w:rsid w:val="00C13F52"/>
    <w:rsid w:val="00C15ACA"/>
    <w:rsid w:val="00C21389"/>
    <w:rsid w:val="00C224E8"/>
    <w:rsid w:val="00C303C0"/>
    <w:rsid w:val="00C30C43"/>
    <w:rsid w:val="00C46535"/>
    <w:rsid w:val="00C55B02"/>
    <w:rsid w:val="00C74A0E"/>
    <w:rsid w:val="00C9146A"/>
    <w:rsid w:val="00CB4612"/>
    <w:rsid w:val="00CE4C78"/>
    <w:rsid w:val="00D064A7"/>
    <w:rsid w:val="00D14905"/>
    <w:rsid w:val="00D15E59"/>
    <w:rsid w:val="00D26CCE"/>
    <w:rsid w:val="00D44A44"/>
    <w:rsid w:val="00D462AA"/>
    <w:rsid w:val="00D475D2"/>
    <w:rsid w:val="00D475E0"/>
    <w:rsid w:val="00D55EB8"/>
    <w:rsid w:val="00D6776F"/>
    <w:rsid w:val="00D715FE"/>
    <w:rsid w:val="00D73529"/>
    <w:rsid w:val="00D8199C"/>
    <w:rsid w:val="00D84ED0"/>
    <w:rsid w:val="00D9377D"/>
    <w:rsid w:val="00DA09E3"/>
    <w:rsid w:val="00DA18F3"/>
    <w:rsid w:val="00DC5A60"/>
    <w:rsid w:val="00DC7346"/>
    <w:rsid w:val="00DD4EE0"/>
    <w:rsid w:val="00DD4FB1"/>
    <w:rsid w:val="00DD5DA7"/>
    <w:rsid w:val="00E02D5D"/>
    <w:rsid w:val="00E04EA1"/>
    <w:rsid w:val="00E10986"/>
    <w:rsid w:val="00E11D99"/>
    <w:rsid w:val="00E13E83"/>
    <w:rsid w:val="00E17998"/>
    <w:rsid w:val="00E31DC6"/>
    <w:rsid w:val="00E509B1"/>
    <w:rsid w:val="00E512C0"/>
    <w:rsid w:val="00E618CD"/>
    <w:rsid w:val="00E625CB"/>
    <w:rsid w:val="00E74CB7"/>
    <w:rsid w:val="00E85F61"/>
    <w:rsid w:val="00EA43F7"/>
    <w:rsid w:val="00EB1089"/>
    <w:rsid w:val="00EB1AF8"/>
    <w:rsid w:val="00EB29E1"/>
    <w:rsid w:val="00EB3A9D"/>
    <w:rsid w:val="00EC1E7A"/>
    <w:rsid w:val="00EC4751"/>
    <w:rsid w:val="00ED3883"/>
    <w:rsid w:val="00EE1780"/>
    <w:rsid w:val="00EE21EF"/>
    <w:rsid w:val="00EE45BF"/>
    <w:rsid w:val="00EF4286"/>
    <w:rsid w:val="00EF4F91"/>
    <w:rsid w:val="00F11254"/>
    <w:rsid w:val="00F26C4F"/>
    <w:rsid w:val="00F31CF4"/>
    <w:rsid w:val="00F33EFE"/>
    <w:rsid w:val="00F36C9E"/>
    <w:rsid w:val="00F43670"/>
    <w:rsid w:val="00F5345D"/>
    <w:rsid w:val="00F64C0F"/>
    <w:rsid w:val="00F65454"/>
    <w:rsid w:val="00F77581"/>
    <w:rsid w:val="00F93A0A"/>
    <w:rsid w:val="00F95F8A"/>
    <w:rsid w:val="00FA6594"/>
    <w:rsid w:val="00FB7399"/>
    <w:rsid w:val="00FC062D"/>
    <w:rsid w:val="00FC4E76"/>
    <w:rsid w:val="00FD73B3"/>
    <w:rsid w:val="00FE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E1D40"/>
  <w15:docId w15:val="{1E57A4D7-4EC3-44B0-A0BE-3FDCD172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sz w:val="18"/>
        <w:szCs w:val="18"/>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90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jc w:val="right"/>
      <w:outlineLvl w:val="1"/>
    </w:pPr>
    <w:rPr>
      <w:rFonts w:ascii="Arial" w:eastAsia="Arial" w:hAnsi="Arial" w:cs="Arial"/>
      <w:b/>
      <w:sz w:val="22"/>
      <w:szCs w:val="22"/>
    </w:rPr>
  </w:style>
  <w:style w:type="paragraph" w:styleId="3">
    <w:name w:val="heading 3"/>
    <w:basedOn w:val="a"/>
    <w:next w:val="a"/>
    <w:uiPriority w:val="9"/>
    <w:semiHidden/>
    <w:unhideWhenUsed/>
    <w:qFormat/>
    <w:pPr>
      <w:keepNext/>
      <w:outlineLvl w:val="2"/>
    </w:pPr>
    <w:rPr>
      <w:rFonts w:ascii="Arial" w:eastAsia="Arial" w:hAnsi="Arial" w:cs="Arial"/>
      <w:b/>
      <w:sz w:val="20"/>
      <w:szCs w:val="20"/>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a8"/>
    <w:uiPriority w:val="99"/>
    <w:unhideWhenUsed/>
    <w:rsid w:val="00B76ABC"/>
    <w:pPr>
      <w:tabs>
        <w:tab w:val="center" w:pos="4819"/>
        <w:tab w:val="right" w:pos="9639"/>
      </w:tabs>
    </w:pPr>
  </w:style>
  <w:style w:type="character" w:customStyle="1" w:styleId="a8">
    <w:name w:val="Верхній колонтитул Знак"/>
    <w:basedOn w:val="a0"/>
    <w:link w:val="a7"/>
    <w:uiPriority w:val="99"/>
    <w:rsid w:val="00B76ABC"/>
  </w:style>
  <w:style w:type="paragraph" w:styleId="a9">
    <w:name w:val="footer"/>
    <w:basedOn w:val="a"/>
    <w:link w:val="aa"/>
    <w:uiPriority w:val="99"/>
    <w:unhideWhenUsed/>
    <w:rsid w:val="00B76ABC"/>
    <w:pPr>
      <w:tabs>
        <w:tab w:val="center" w:pos="4819"/>
        <w:tab w:val="right" w:pos="9639"/>
      </w:tabs>
    </w:pPr>
  </w:style>
  <w:style w:type="character" w:customStyle="1" w:styleId="aa">
    <w:name w:val="Нижній колонтитул Знак"/>
    <w:basedOn w:val="a0"/>
    <w:link w:val="a9"/>
    <w:uiPriority w:val="99"/>
    <w:rsid w:val="00B76ABC"/>
  </w:style>
  <w:style w:type="paragraph" w:styleId="ab">
    <w:name w:val="List Paragraph"/>
    <w:aliases w:val="Bullets,List Paragraph nowy,List Paragraph (numbered (a)),Liste 1,List Bullet-OpsManual,References,Title Style 1,Colorful List - Accent 11,Figures,Main numbered paragraph,Numbered List Paragraph,ReferencesCxSpLast,Numbered Paragraph,Bulle"/>
    <w:basedOn w:val="a"/>
    <w:link w:val="ac"/>
    <w:uiPriority w:val="34"/>
    <w:qFormat/>
    <w:rsid w:val="006D40C6"/>
    <w:pPr>
      <w:ind w:left="720"/>
    </w:pPr>
    <w:rPr>
      <w:rFonts w:ascii="Calibri" w:eastAsia="Calibri" w:hAnsi="Calibri"/>
      <w:sz w:val="22"/>
      <w:szCs w:val="22"/>
      <w:lang w:val="en-GB" w:eastAsia="en-GB"/>
    </w:rPr>
  </w:style>
  <w:style w:type="character" w:customStyle="1" w:styleId="ac">
    <w:name w:val="Абзац списку Знак"/>
    <w:aliases w:val="Bullets Знак,List Paragraph nowy Знак,List Paragraph (numbered (a)) Знак,Liste 1 Знак,List Bullet-OpsManual Знак,References Знак,Title Style 1 Знак,Colorful List - Accent 11 Знак,Figures Знак,Main numbered paragraph Знак,Bulle Знак"/>
    <w:basedOn w:val="a0"/>
    <w:link w:val="ab"/>
    <w:uiPriority w:val="34"/>
    <w:rsid w:val="006D40C6"/>
    <w:rPr>
      <w:rFonts w:ascii="Calibri" w:eastAsia="Calibri" w:hAnsi="Calibri"/>
      <w:sz w:val="22"/>
      <w:szCs w:val="22"/>
      <w:lang w:val="en-GB" w:eastAsia="en-GB"/>
    </w:rPr>
  </w:style>
  <w:style w:type="character" w:styleId="ad">
    <w:name w:val="annotation reference"/>
    <w:basedOn w:val="a0"/>
    <w:uiPriority w:val="99"/>
    <w:semiHidden/>
    <w:unhideWhenUsed/>
    <w:rsid w:val="006D40C6"/>
    <w:rPr>
      <w:sz w:val="16"/>
      <w:szCs w:val="16"/>
    </w:rPr>
  </w:style>
  <w:style w:type="table" w:styleId="ae">
    <w:name w:val="Table Grid"/>
    <w:basedOn w:val="a1"/>
    <w:uiPriority w:val="39"/>
    <w:rsid w:val="00B9660B"/>
    <w:rPr>
      <w:rFonts w:asciiTheme="minorHAnsi" w:eastAsiaTheme="minorHAnsi" w:hAnsiTheme="minorHAnsi" w:cstheme="minorBid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quinsmallbold">
    <w:name w:val="Sanquin_small bold"/>
    <w:basedOn w:val="a"/>
    <w:qFormat/>
    <w:rsid w:val="00B9660B"/>
    <w:pPr>
      <w:framePr w:wrap="around" w:vAnchor="page" w:hAnchor="page" w:x="852" w:y="3970"/>
      <w:adjustRightInd w:val="0"/>
      <w:spacing w:line="255" w:lineRule="atLeast"/>
      <w:suppressOverlap/>
      <w:jc w:val="right"/>
    </w:pPr>
    <w:rPr>
      <w:rFonts w:asciiTheme="minorHAnsi" w:eastAsiaTheme="minorHAnsi" w:hAnsiTheme="minorHAnsi" w:cs="Times New Roman (Hoofdtekst CS)"/>
      <w:b/>
      <w:sz w:val="15"/>
      <w:szCs w:val="24"/>
      <w:lang w:val="nl-NL" w:eastAsia="en-US"/>
    </w:rPr>
  </w:style>
  <w:style w:type="paragraph" w:customStyle="1" w:styleId="Sanquinbedrijfsgegevens-adres">
    <w:name w:val="Sanquin_bedrijfsgegevens-adres"/>
    <w:basedOn w:val="a"/>
    <w:qFormat/>
    <w:rsid w:val="00B9660B"/>
    <w:pPr>
      <w:framePr w:wrap="around" w:vAnchor="page" w:hAnchor="page" w:x="8149" w:y="795"/>
      <w:spacing w:line="243" w:lineRule="atLeast"/>
      <w:suppressOverlap/>
    </w:pPr>
    <w:rPr>
      <w:rFonts w:asciiTheme="minorHAnsi" w:eastAsiaTheme="minorHAnsi" w:hAnsiTheme="minorHAnsi" w:cs="Times New Roman (Hoofdtekst CS)"/>
      <w:sz w:val="15"/>
      <w:szCs w:val="24"/>
      <w:lang w:val="nl-NL" w:eastAsia="en-US"/>
    </w:rPr>
  </w:style>
  <w:style w:type="table" w:customStyle="1" w:styleId="Tabelraster1">
    <w:name w:val="Tabelraster1"/>
    <w:basedOn w:val="a1"/>
    <w:next w:val="ae"/>
    <w:uiPriority w:val="39"/>
    <w:rsid w:val="00B9660B"/>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D2765"/>
    <w:rPr>
      <w:rFonts w:ascii="Arial" w:eastAsia="Calibri" w:hAnsi="Arial" w:cs="Arial"/>
      <w:color w:val="000000"/>
      <w:sz w:val="24"/>
      <w:szCs w:val="24"/>
      <w:lang w:val="en-GB" w:eastAsia="en-US"/>
    </w:rPr>
  </w:style>
  <w:style w:type="paragraph" w:styleId="af">
    <w:name w:val="Normal (Web)"/>
    <w:basedOn w:val="a"/>
    <w:uiPriority w:val="99"/>
    <w:semiHidden/>
    <w:unhideWhenUsed/>
    <w:rsid w:val="00145051"/>
    <w:pPr>
      <w:spacing w:before="100" w:beforeAutospacing="1" w:after="100" w:afterAutospacing="1"/>
    </w:pPr>
    <w:rPr>
      <w:rFonts w:ascii="Times New Roman" w:hAnsi="Times New Roman" w:cs="Times New Roman"/>
      <w:sz w:val="24"/>
      <w:szCs w:val="24"/>
    </w:rPr>
  </w:style>
  <w:style w:type="paragraph" w:styleId="af0">
    <w:name w:val="footnote text"/>
    <w:basedOn w:val="a"/>
    <w:link w:val="af1"/>
    <w:uiPriority w:val="99"/>
    <w:semiHidden/>
    <w:unhideWhenUsed/>
    <w:rsid w:val="00007125"/>
    <w:rPr>
      <w:sz w:val="20"/>
      <w:szCs w:val="20"/>
    </w:rPr>
  </w:style>
  <w:style w:type="character" w:customStyle="1" w:styleId="af1">
    <w:name w:val="Текст виноски Знак"/>
    <w:basedOn w:val="a0"/>
    <w:link w:val="af0"/>
    <w:uiPriority w:val="99"/>
    <w:semiHidden/>
    <w:rsid w:val="00007125"/>
    <w:rPr>
      <w:sz w:val="20"/>
      <w:szCs w:val="20"/>
    </w:rPr>
  </w:style>
  <w:style w:type="character" w:styleId="af2">
    <w:name w:val="footnote reference"/>
    <w:basedOn w:val="a0"/>
    <w:uiPriority w:val="99"/>
    <w:semiHidden/>
    <w:unhideWhenUsed/>
    <w:rsid w:val="00007125"/>
    <w:rPr>
      <w:vertAlign w:val="superscript"/>
    </w:rPr>
  </w:style>
  <w:style w:type="paragraph" w:customStyle="1" w:styleId="Pa3">
    <w:name w:val="Pa3"/>
    <w:basedOn w:val="Default"/>
    <w:next w:val="Default"/>
    <w:uiPriority w:val="99"/>
    <w:rsid w:val="00666074"/>
    <w:pPr>
      <w:autoSpaceDE w:val="0"/>
      <w:autoSpaceDN w:val="0"/>
      <w:adjustRightInd w:val="0"/>
      <w:spacing w:line="221" w:lineRule="atLeast"/>
    </w:pPr>
    <w:rPr>
      <w:rFonts w:eastAsia="Times New Roman"/>
      <w:color w:val="auto"/>
      <w:lang w:eastAsia="ru-RU"/>
    </w:rPr>
  </w:style>
  <w:style w:type="paragraph" w:customStyle="1" w:styleId="Pa4">
    <w:name w:val="Pa4"/>
    <w:basedOn w:val="Default"/>
    <w:next w:val="Default"/>
    <w:uiPriority w:val="99"/>
    <w:rsid w:val="00666074"/>
    <w:pPr>
      <w:autoSpaceDE w:val="0"/>
      <w:autoSpaceDN w:val="0"/>
      <w:adjustRightInd w:val="0"/>
      <w:spacing w:line="261" w:lineRule="atLeast"/>
    </w:pPr>
    <w:rPr>
      <w:rFonts w:eastAsia="Times New Roman"/>
      <w:color w:val="auto"/>
      <w:lang w:eastAsia="ru-RU"/>
    </w:rPr>
  </w:style>
  <w:style w:type="character" w:customStyle="1" w:styleId="A00">
    <w:name w:val="A0"/>
    <w:uiPriority w:val="99"/>
    <w:rsid w:val="00F43670"/>
    <w:rPr>
      <w:b/>
      <w:bCs/>
      <w:color w:val="FFD600"/>
      <w:sz w:val="55"/>
      <w:szCs w:val="55"/>
    </w:rPr>
  </w:style>
  <w:style w:type="character" w:styleId="af3">
    <w:name w:val="Hyperlink"/>
    <w:basedOn w:val="a0"/>
    <w:uiPriority w:val="99"/>
    <w:unhideWhenUsed/>
    <w:rsid w:val="00F36C9E"/>
    <w:rPr>
      <w:color w:val="0000FF"/>
      <w:u w:val="single"/>
    </w:rPr>
  </w:style>
  <w:style w:type="character" w:styleId="af4">
    <w:name w:val="Strong"/>
    <w:basedOn w:val="a0"/>
    <w:uiPriority w:val="22"/>
    <w:qFormat/>
    <w:rsid w:val="00F36C9E"/>
    <w:rPr>
      <w:b/>
      <w:bCs/>
    </w:rPr>
  </w:style>
  <w:style w:type="paragraph" w:styleId="af5">
    <w:name w:val="Revision"/>
    <w:hidden/>
    <w:uiPriority w:val="99"/>
    <w:semiHidden/>
    <w:rsid w:val="0062541D"/>
  </w:style>
  <w:style w:type="paragraph" w:styleId="af6">
    <w:name w:val="annotation text"/>
    <w:basedOn w:val="a"/>
    <w:link w:val="af7"/>
    <w:uiPriority w:val="99"/>
    <w:semiHidden/>
    <w:unhideWhenUsed/>
    <w:rsid w:val="0062541D"/>
    <w:rPr>
      <w:sz w:val="20"/>
      <w:szCs w:val="20"/>
    </w:rPr>
  </w:style>
  <w:style w:type="character" w:customStyle="1" w:styleId="af7">
    <w:name w:val="Текст примітки Знак"/>
    <w:basedOn w:val="a0"/>
    <w:link w:val="af6"/>
    <w:uiPriority w:val="99"/>
    <w:semiHidden/>
    <w:rsid w:val="0062541D"/>
    <w:rPr>
      <w:sz w:val="20"/>
      <w:szCs w:val="20"/>
    </w:rPr>
  </w:style>
  <w:style w:type="paragraph" w:styleId="af8">
    <w:name w:val="annotation subject"/>
    <w:basedOn w:val="af6"/>
    <w:next w:val="af6"/>
    <w:link w:val="af9"/>
    <w:uiPriority w:val="99"/>
    <w:semiHidden/>
    <w:unhideWhenUsed/>
    <w:rsid w:val="0062541D"/>
    <w:rPr>
      <w:b/>
      <w:bCs/>
    </w:rPr>
  </w:style>
  <w:style w:type="character" w:customStyle="1" w:styleId="af9">
    <w:name w:val="Тема примітки Знак"/>
    <w:basedOn w:val="af7"/>
    <w:link w:val="af8"/>
    <w:uiPriority w:val="99"/>
    <w:semiHidden/>
    <w:rsid w:val="0062541D"/>
    <w:rPr>
      <w:b/>
      <w:bCs/>
      <w:sz w:val="20"/>
      <w:szCs w:val="20"/>
    </w:rPr>
  </w:style>
  <w:style w:type="character" w:styleId="afa">
    <w:name w:val="Unresolved Mention"/>
    <w:basedOn w:val="a0"/>
    <w:uiPriority w:val="99"/>
    <w:semiHidden/>
    <w:unhideWhenUsed/>
    <w:rsid w:val="002C6D49"/>
    <w:rPr>
      <w:color w:val="605E5C"/>
      <w:shd w:val="clear" w:color="auto" w:fill="E1DFDD"/>
    </w:rPr>
  </w:style>
  <w:style w:type="paragraph" w:styleId="afb">
    <w:name w:val="No Spacing"/>
    <w:uiPriority w:val="1"/>
    <w:qFormat/>
    <w:rsid w:val="002C6D49"/>
    <w:rPr>
      <w:rFonts w:asciiTheme="minorHAnsi" w:eastAsiaTheme="minorHAnsi" w:hAnsiTheme="minorHAnsi" w:cstheme="minorBid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478">
      <w:bodyDiv w:val="1"/>
      <w:marLeft w:val="0"/>
      <w:marRight w:val="0"/>
      <w:marTop w:val="0"/>
      <w:marBottom w:val="0"/>
      <w:divBdr>
        <w:top w:val="none" w:sz="0" w:space="0" w:color="auto"/>
        <w:left w:val="none" w:sz="0" w:space="0" w:color="auto"/>
        <w:bottom w:val="none" w:sz="0" w:space="0" w:color="auto"/>
        <w:right w:val="none" w:sz="0" w:space="0" w:color="auto"/>
      </w:divBdr>
    </w:div>
    <w:div w:id="279722531">
      <w:bodyDiv w:val="1"/>
      <w:marLeft w:val="0"/>
      <w:marRight w:val="0"/>
      <w:marTop w:val="0"/>
      <w:marBottom w:val="0"/>
      <w:divBdr>
        <w:top w:val="none" w:sz="0" w:space="0" w:color="auto"/>
        <w:left w:val="none" w:sz="0" w:space="0" w:color="auto"/>
        <w:bottom w:val="none" w:sz="0" w:space="0" w:color="auto"/>
        <w:right w:val="none" w:sz="0" w:space="0" w:color="auto"/>
      </w:divBdr>
    </w:div>
    <w:div w:id="650863435">
      <w:bodyDiv w:val="1"/>
      <w:marLeft w:val="0"/>
      <w:marRight w:val="0"/>
      <w:marTop w:val="0"/>
      <w:marBottom w:val="0"/>
      <w:divBdr>
        <w:top w:val="none" w:sz="0" w:space="0" w:color="auto"/>
        <w:left w:val="none" w:sz="0" w:space="0" w:color="auto"/>
        <w:bottom w:val="none" w:sz="0" w:space="0" w:color="auto"/>
        <w:right w:val="none" w:sz="0" w:space="0" w:color="auto"/>
      </w:divBdr>
    </w:div>
    <w:div w:id="1272861273">
      <w:bodyDiv w:val="1"/>
      <w:marLeft w:val="0"/>
      <w:marRight w:val="0"/>
      <w:marTop w:val="0"/>
      <w:marBottom w:val="0"/>
      <w:divBdr>
        <w:top w:val="none" w:sz="0" w:space="0" w:color="auto"/>
        <w:left w:val="none" w:sz="0" w:space="0" w:color="auto"/>
        <w:bottom w:val="none" w:sz="0" w:space="0" w:color="auto"/>
        <w:right w:val="none" w:sz="0" w:space="0" w:color="auto"/>
      </w:divBdr>
    </w:div>
    <w:div w:id="1969126236">
      <w:bodyDiv w:val="1"/>
      <w:marLeft w:val="0"/>
      <w:marRight w:val="0"/>
      <w:marTop w:val="0"/>
      <w:marBottom w:val="0"/>
      <w:divBdr>
        <w:top w:val="none" w:sz="0" w:space="0" w:color="auto"/>
        <w:left w:val="none" w:sz="0" w:space="0" w:color="auto"/>
        <w:bottom w:val="none" w:sz="0" w:space="0" w:color="auto"/>
        <w:right w:val="none" w:sz="0" w:space="0" w:color="auto"/>
      </w:divBdr>
    </w:div>
    <w:div w:id="210248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g.com/ck/a?!&amp;&amp;p=131fd206e22b445cJmltdHM9MTY5ODc5NjgwMCZpZ3VpZD0yZjE3YTkyMy0zNjJiLTYwZTItMzEzNS1hNDY2MzdjMDYxZDYmaW5zaWQ9NTY4Mg&amp;ptn=3&amp;hsh=3&amp;fclid=2f17a923-362b-60e2-3135-a46637c061d6&amp;psq=The+Health+Cluster+in+Ukriane&amp;u=a1aHR0cHM6Ly9oZWFsdGhjbHVzdGVyLndoby5pbnQvbmV3c3Jvb20vbmV3cy9pdGVtLzI2LTA0LTIwMjMtdGhlLWhlYWx0aC1jbHVzdGVyLWluLXVrcmFpbmUtMS15ZWFyLWFmdGVyLXRoZS13YXI&amp;ntb=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neighbourhood-enlargement.ec.europa.eu/system/files/2023-11/SWD_2023_699%20Ukraine%20repor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12D56931F274C85A0260A1CDADE72" ma:contentTypeVersion="10" ma:contentTypeDescription="Create a new document." ma:contentTypeScope="" ma:versionID="bcd05b9d7f47b12e6548f0130ce0c7d8">
  <xsd:schema xmlns:xsd="http://www.w3.org/2001/XMLSchema" xmlns:xs="http://www.w3.org/2001/XMLSchema" xmlns:p="http://schemas.microsoft.com/office/2006/metadata/properties" xmlns:ns2="76d9b217-8c95-4193-82fa-a62edfe26299" xmlns:ns3="ee8c664b-8e66-44f6-a78e-45c345936622" xmlns:ns4="b2d7b946-c419-410e-8337-7512f91f23ca" xmlns:ns5="76d9b217-8c95-4193-82fa-a62edfe26299" targetNamespace="http://schemas.microsoft.com/office/2006/metadata/properties" ma:root="true" ma:fieldsID="7ad945e6f2083c0021da67e2f4223b8d" ns5:_="" ns3:_="" ns4:_="">
    <xsd:import namespace="76d9b217-8c95-4193-82fa-a62edfe26299"/>
    <xsd:import namespace="ee8c664b-8e66-44f6-a78e-45c345936622"/>
    <xsd:import namespace="b2d7b946-c419-410e-8337-7512f91f23ca"/>
    <xsd:import namespace="76d9b217-8c95-4193-82fa-a62edfe26299"/>
    <xsd:element name="properties">
      <xsd:complexType>
        <xsd:sequence>
          <xsd:element name="documentManagement">
            <xsd:complexType>
              <xsd:all>
                <xsd:element ref="ns2:Activity" minOccurs="0"/>
                <xsd:element ref="ns3:TM_x0020_Category" minOccurs="0"/>
                <xsd:element ref="ns2:Document_x0020_Type" minOccurs="0"/>
                <xsd:element ref="ns2:Document_x0020_State" minOccurs="0"/>
                <xsd:element ref="ns2:Project_x0020_Period" minOccurs="0"/>
                <xsd:element ref="ns4:Comments" minOccurs="0"/>
                <xsd:element ref="ns2:Activity_x003a_CalculatedProces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Activity" ma:index="2" nillable="true" ma:displayName="Activity" ma:list="1d034caf-a429-45d5-adb2-c8fcdf2ffa95" ma:internalName="Activity" ma:showField="Title">
      <xsd:simpleType>
        <xsd:restriction base="dms:Lookup"/>
      </xsd:simpleType>
    </xsd:element>
    <xsd:element name="Document_x0020_Type" ma:index="4" nillable="true" ma:displayName="Document Type" ma:list="ad82e623-3a91-425e-baf1-f35f759abeb5" ma:internalName="Document_x0020_Type" ma:showField="Title">
      <xsd:simpleType>
        <xsd:restriction base="dms:Lookup"/>
      </xsd:simpleType>
    </xsd:element>
    <xsd:element name="Document_x0020_State" ma:index="5" nillable="true" ma:displayName="Document State" ma:list="bf2e0ac9-2c7e-47cd-a135-1a7b6dfeed48" ma:internalName="Document_x0020_State" ma:showField="Title">
      <xsd:simpleType>
        <xsd:restriction base="dms:Lookup"/>
      </xsd:simpleType>
    </xsd:element>
    <xsd:element name="Project_x0020_Period" ma:index="6" nillable="true" ma:displayName="Project Period" ma:list="773a57c0-261f-45ad-a2f6-94194ed75dc2" ma:internalName="Project_x0020_Period" ma:showField="Title">
      <xsd:simpleType>
        <xsd:restriction base="dms:Lookup"/>
      </xsd:simpleType>
    </xsd:element>
    <xsd:element name="Activity_x003a_CalculatedProcess" ma:index="8" nillable="true" ma:displayName="Process" ma:list="1d034caf-a429-45d5-adb2-c8fcdf2ffa95" ma:internalName="Activity_x003a_CalculatedProcess" ma:readOnly="true" ma:showField="CalculatedProcess" ma:web="76d9b217-8c95-4193-82fa-a62edfe2629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e8c664b-8e66-44f6-a78e-45c345936622" elementFormDefault="qualified">
    <xsd:import namespace="http://schemas.microsoft.com/office/2006/documentManagement/types"/>
    <xsd:import namespace="http://schemas.microsoft.com/office/infopath/2007/PartnerControls"/>
    <xsd:element name="TM_x0020_Category" ma:index="3" nillable="true" ma:displayName="TM Category" ma:description="Technical management category" ma:list="{3fea58fc-2748-4b37-a753-22f42e3fae1d}" ma:internalName="TM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d7b946-c419-410e-8337-7512f91f23ca" elementFormDefault="qualified">
    <xsd:import namespace="http://schemas.microsoft.com/office/2006/documentManagement/types"/>
    <xsd:import namespace="http://schemas.microsoft.com/office/infopath/2007/PartnerControls"/>
    <xsd:element name="Comments" ma:index="7"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ity xmlns="76d9b217-8c95-4193-82fa-a62edfe26299">186</Activity>
    <Project_x0020_Period xmlns="76d9b217-8c95-4193-82fa-a62edfe26299">10</Project_x0020_Period>
    <Document_x0020_State xmlns="76d9b217-8c95-4193-82fa-a62edfe26299">4</Document_x0020_State>
    <Comments xmlns="b2d7b946-c419-410e-8337-7512f91f23ca">with THL logo</Comments>
    <Document_x0020_Type xmlns="76d9b217-8c95-4193-82fa-a62edfe26299">14</Document_x0020_Type>
    <TM_x0020_Category xmlns="ee8c664b-8e66-44f6-a78e-45c3459366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25FD-2035-4BDF-8994-F286A3B1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b217-8c95-4193-82fa-a62edfe26299"/>
    <ds:schemaRef ds:uri="ee8c664b-8e66-44f6-a78e-45c345936622"/>
    <ds:schemaRef ds:uri="b2d7b946-c419-410e-8337-7512f91f2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243FB-F516-4596-9ED1-C39C5BA4C2A8}">
  <ds:schemaRefs>
    <ds:schemaRef ds:uri="http://schemas.microsoft.com/office/2006/metadata/properties"/>
    <ds:schemaRef ds:uri="http://schemas.microsoft.com/office/infopath/2007/PartnerControls"/>
    <ds:schemaRef ds:uri="76d9b217-8c95-4193-82fa-a62edfe26299"/>
    <ds:schemaRef ds:uri="b2d7b946-c419-410e-8337-7512f91f23ca"/>
    <ds:schemaRef ds:uri="ee8c664b-8e66-44f6-a78e-45c345936622"/>
  </ds:schemaRefs>
</ds:datastoreItem>
</file>

<file path=customXml/itemProps3.xml><?xml version="1.0" encoding="utf-8"?>
<ds:datastoreItem xmlns:ds="http://schemas.openxmlformats.org/officeDocument/2006/customXml" ds:itemID="{32D5355C-E2B4-418A-B714-1310CDBC5020}">
  <ds:schemaRefs>
    <ds:schemaRef ds:uri="http://schemas.microsoft.com/sharepoint/v3/contenttype/forms"/>
  </ds:schemaRefs>
</ds:datastoreItem>
</file>

<file path=customXml/itemProps4.xml><?xml version="1.0" encoding="utf-8"?>
<ds:datastoreItem xmlns:ds="http://schemas.openxmlformats.org/officeDocument/2006/customXml" ds:itemID="{4525A9E0-EABB-4512-9DAC-40024D09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2662</Words>
  <Characters>15179</Characters>
  <Application>Microsoft Office Word</Application>
  <DocSecurity>0</DocSecurity>
  <Lines>126</Lines>
  <Paragraphs>35</Paragraphs>
  <ScaleCrop>false</ScaleCrop>
  <HeadingPairs>
    <vt:vector size="8" baseType="variant">
      <vt:variant>
        <vt:lpstr>Назва</vt:lpstr>
      </vt:variant>
      <vt:variant>
        <vt:i4>1</vt:i4>
      </vt:variant>
      <vt:variant>
        <vt:lpstr>Title</vt:lpstr>
      </vt:variant>
      <vt:variant>
        <vt:i4>1</vt:i4>
      </vt:variant>
      <vt:variant>
        <vt:lpstr>Titel</vt:lpstr>
      </vt:variant>
      <vt:variant>
        <vt:i4>1</vt:i4>
      </vt:variant>
      <vt:variant>
        <vt:lpstr>Название</vt:lpstr>
      </vt:variant>
      <vt:variant>
        <vt:i4>1</vt:i4>
      </vt:variant>
    </vt:vector>
  </HeadingPairs>
  <TitlesOfParts>
    <vt:vector size="4" baseType="lpstr">
      <vt:lpstr/>
      <vt:lpstr/>
      <vt: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dell003</dc:creator>
  <cp:lastModifiedBy>Olena Valinkevych</cp:lastModifiedBy>
  <cp:revision>9</cp:revision>
  <cp:lastPrinted>2023-11-24T09:56:00Z</cp:lastPrinted>
  <dcterms:created xsi:type="dcterms:W3CDTF">2023-11-24T14:31:00Z</dcterms:created>
  <dcterms:modified xsi:type="dcterms:W3CDTF">2023-12-06T09:52:00Z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0x0101005F312D56931F274C85A0260A1CDADE72</vt:lpwstr>
  </property>
</Properties>
</file>