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93" w:rsidRPr="00820371" w:rsidRDefault="00627F7F" w:rsidP="00756A81">
      <w:pPr>
        <w:ind w:left="5103" w:right="-567"/>
        <w:rPr>
          <w:szCs w:val="20"/>
          <w:lang w:eastAsia="ko-KR"/>
        </w:rPr>
      </w:pPr>
      <w:r w:rsidRPr="00820371">
        <w:t xml:space="preserve">Kyiv, </w:t>
      </w:r>
      <w:r w:rsidR="00D71CA1">
        <w:t xml:space="preserve"> 19</w:t>
      </w:r>
      <w:bookmarkStart w:id="0" w:name="_GoBack"/>
      <w:bookmarkEnd w:id="0"/>
      <w:r w:rsidR="00234816">
        <w:t xml:space="preserve"> July </w:t>
      </w:r>
      <w:r w:rsidR="00820371">
        <w:t>016</w:t>
      </w:r>
    </w:p>
    <w:p w:rsidR="00CB4F93" w:rsidRPr="00820371" w:rsidRDefault="00A5355F" w:rsidP="00756A81">
      <w:pPr>
        <w:ind w:left="5103"/>
        <w:rPr>
          <w:sz w:val="20"/>
          <w:szCs w:val="20"/>
          <w:lang w:eastAsia="ko-KR"/>
        </w:rPr>
      </w:pPr>
      <w:r w:rsidRPr="00820371">
        <w:rPr>
          <w:sz w:val="20"/>
          <w:szCs w:val="20"/>
          <w:lang w:eastAsia="ko-KR"/>
        </w:rPr>
        <w:t xml:space="preserve"> </w:t>
      </w:r>
    </w:p>
    <w:p w:rsidR="00FF50D1" w:rsidRPr="00820371" w:rsidRDefault="00FF50D1" w:rsidP="00756A81">
      <w:pPr>
        <w:spacing w:before="100" w:beforeAutospacing="1" w:after="100" w:afterAutospacing="1"/>
        <w:jc w:val="both"/>
      </w:pPr>
      <w:r w:rsidRPr="00820371">
        <w:t>Dear Sir/Madam,</w:t>
      </w:r>
    </w:p>
    <w:p w:rsidR="00D24ADF" w:rsidRPr="00E663E7" w:rsidRDefault="00FF50D1" w:rsidP="00756A81">
      <w:pPr>
        <w:tabs>
          <w:tab w:val="left" w:pos="1080"/>
        </w:tabs>
        <w:spacing w:before="100" w:beforeAutospacing="1" w:after="100" w:afterAutospacing="1"/>
        <w:ind w:left="1080" w:hanging="1080"/>
        <w:jc w:val="both"/>
        <w:rPr>
          <w:b/>
          <w:bCs/>
        </w:rPr>
      </w:pPr>
      <w:r w:rsidRPr="00E663E7">
        <w:rPr>
          <w:b/>
          <w:bCs/>
        </w:rPr>
        <w:t>Subject:</w:t>
      </w:r>
      <w:r w:rsidRPr="00E663E7">
        <w:rPr>
          <w:b/>
          <w:bCs/>
        </w:rPr>
        <w:tab/>
        <w:t>-</w:t>
      </w:r>
      <w:r w:rsidR="00EC49FE">
        <w:rPr>
          <w:b/>
          <w:bCs/>
        </w:rPr>
        <w:t xml:space="preserve"> </w:t>
      </w:r>
      <w:r w:rsidR="00820371">
        <w:rPr>
          <w:b/>
          <w:bCs/>
        </w:rPr>
        <w:t xml:space="preserve">Invitation to tender: </w:t>
      </w:r>
      <w:r w:rsidR="00D24ADF" w:rsidRPr="00E663E7">
        <w:rPr>
          <w:b/>
          <w:bCs/>
        </w:rPr>
        <w:t>EEAS-</w:t>
      </w:r>
      <w:r w:rsidR="00F057D0">
        <w:rPr>
          <w:b/>
          <w:bCs/>
        </w:rPr>
        <w:t>518-</w:t>
      </w:r>
      <w:r w:rsidR="00D24ADF" w:rsidRPr="00E663E7">
        <w:rPr>
          <w:b/>
          <w:bCs/>
        </w:rPr>
        <w:t>DELUKR</w:t>
      </w:r>
      <w:r w:rsidR="00F057D0">
        <w:rPr>
          <w:b/>
          <w:bCs/>
        </w:rPr>
        <w:t>K</w:t>
      </w:r>
      <w:r w:rsidR="00D24ADF" w:rsidRPr="00E663E7">
        <w:rPr>
          <w:b/>
          <w:bCs/>
        </w:rPr>
        <w:t>-SER-DIR</w:t>
      </w:r>
      <w:r w:rsidR="00E663E7" w:rsidRPr="00E663E7">
        <w:rPr>
          <w:b/>
          <w:bCs/>
        </w:rPr>
        <w:t>, "EU STUDY DAYS IN UKRAINE"</w:t>
      </w:r>
    </w:p>
    <w:p w:rsidR="00EC49FE" w:rsidRPr="00EC49FE" w:rsidRDefault="00D24ADF" w:rsidP="00756A81">
      <w:pPr>
        <w:tabs>
          <w:tab w:val="left" w:pos="1080"/>
        </w:tabs>
        <w:spacing w:before="100" w:beforeAutospacing="1" w:after="100" w:afterAutospacing="1"/>
        <w:ind w:left="1080" w:hanging="1080"/>
        <w:jc w:val="both"/>
      </w:pPr>
      <w:r w:rsidRPr="00E663E7">
        <w:rPr>
          <w:b/>
          <w:bCs/>
          <w:i/>
        </w:rPr>
        <w:tab/>
      </w:r>
      <w:r w:rsidRPr="00EC49FE">
        <w:rPr>
          <w:b/>
          <w:bCs/>
        </w:rPr>
        <w:t xml:space="preserve">- </w:t>
      </w:r>
      <w:r w:rsidR="00EC49FE">
        <w:rPr>
          <w:b/>
          <w:bCs/>
        </w:rPr>
        <w:t>R</w:t>
      </w:r>
      <w:r w:rsidR="00B31035" w:rsidRPr="00EC49FE">
        <w:rPr>
          <w:b/>
          <w:bCs/>
        </w:rPr>
        <w:t>eference to contract notice in the Official Journal</w:t>
      </w:r>
      <w:r w:rsidR="00EC49FE" w:rsidRPr="00EC49FE">
        <w:rPr>
          <w:b/>
          <w:bCs/>
        </w:rPr>
        <w:t xml:space="preserve"> 2016/S 137-246848.</w:t>
      </w:r>
    </w:p>
    <w:p w:rsidR="00EC49FE" w:rsidRPr="00D24ADF" w:rsidRDefault="00EC49FE" w:rsidP="00756A81">
      <w:pPr>
        <w:tabs>
          <w:tab w:val="left" w:pos="1080"/>
        </w:tabs>
        <w:spacing w:before="100" w:beforeAutospacing="1" w:after="100" w:afterAutospacing="1"/>
        <w:ind w:left="1080" w:hanging="1080"/>
        <w:jc w:val="both"/>
      </w:pPr>
    </w:p>
    <w:p w:rsidR="00234816" w:rsidRPr="00234816" w:rsidRDefault="004475DC" w:rsidP="00234816">
      <w:pPr>
        <w:pStyle w:val="Numbered"/>
        <w:spacing w:before="120" w:after="100" w:afterAutospacing="1"/>
        <w:ind w:left="425" w:hanging="425"/>
        <w:rPr>
          <w:b/>
          <w:bCs/>
        </w:rPr>
      </w:pPr>
      <w:r w:rsidRPr="00FB789E">
        <w:t xml:space="preserve">The </w:t>
      </w:r>
      <w:r w:rsidR="00235738">
        <w:t xml:space="preserve">European External Action Service (EEAS) </w:t>
      </w:r>
      <w:r w:rsidRPr="00FB789E">
        <w:t>is planning to award the contract referred to above.</w:t>
      </w:r>
      <w:r w:rsidR="00592593">
        <w:t xml:space="preserve">The </w:t>
      </w:r>
      <w:r w:rsidR="001656E0">
        <w:t xml:space="preserve">procurement documents </w:t>
      </w:r>
      <w:r w:rsidR="00592593">
        <w:t xml:space="preserve">consist </w:t>
      </w:r>
      <w:r w:rsidR="00592593" w:rsidRPr="004575B1">
        <w:t xml:space="preserve">in </w:t>
      </w:r>
      <w:r w:rsidR="001656E0" w:rsidRPr="004575B1">
        <w:t>the contract notice</w:t>
      </w:r>
      <w:r w:rsidR="004575B1" w:rsidRPr="004575B1">
        <w:t>,</w:t>
      </w:r>
      <w:r w:rsidR="00EC49FE">
        <w:t xml:space="preserve"> </w:t>
      </w:r>
      <w:r w:rsidR="00592593" w:rsidRPr="004575B1">
        <w:t xml:space="preserve">this </w:t>
      </w:r>
      <w:r w:rsidR="00077E8C" w:rsidRPr="004575B1">
        <w:t xml:space="preserve">invitation </w:t>
      </w:r>
      <w:r w:rsidR="00592593" w:rsidRPr="004575B1">
        <w:t>letter,</w:t>
      </w:r>
      <w:r w:rsidR="00766094">
        <w:t xml:space="preserve"> </w:t>
      </w:r>
      <w:r w:rsidR="00FF50D1" w:rsidRPr="00550593">
        <w:t xml:space="preserve">the tender </w:t>
      </w:r>
      <w:r w:rsidR="00454F5E">
        <w:t>specification</w:t>
      </w:r>
      <w:r w:rsidR="00592593">
        <w:t xml:space="preserve">s </w:t>
      </w:r>
      <w:r w:rsidR="00181F80">
        <w:t>with</w:t>
      </w:r>
      <w:r w:rsidR="001C3AB6">
        <w:t xml:space="preserve"> </w:t>
      </w:r>
      <w:r w:rsidR="001656E0">
        <w:t xml:space="preserve">their </w:t>
      </w:r>
      <w:r w:rsidR="00592593">
        <w:t>annexes</w:t>
      </w:r>
      <w:r w:rsidR="001C3AB6">
        <w:t xml:space="preserve"> </w:t>
      </w:r>
      <w:r w:rsidR="00454F5E" w:rsidRPr="00550593">
        <w:t>and the draft contract</w:t>
      </w:r>
      <w:r w:rsidR="00FF50D1" w:rsidRPr="00550593">
        <w:t>.</w:t>
      </w:r>
    </w:p>
    <w:p w:rsidR="00077E8C" w:rsidRPr="00234816" w:rsidRDefault="00FF50D1" w:rsidP="00234816">
      <w:pPr>
        <w:pStyle w:val="Numbered"/>
        <w:spacing w:before="120" w:after="100" w:afterAutospacing="1"/>
        <w:ind w:left="425" w:hanging="425"/>
        <w:rPr>
          <w:b/>
          <w:bCs/>
        </w:rPr>
      </w:pPr>
      <w:r w:rsidRPr="00550593">
        <w:t xml:space="preserve">If you are interested in this contract, you should submit a tender </w:t>
      </w:r>
      <w:proofErr w:type="gramStart"/>
      <w:r w:rsidRPr="00550593">
        <w:t xml:space="preserve">in </w:t>
      </w:r>
      <w:r w:rsidR="00766094">
        <w:t xml:space="preserve"> English</w:t>
      </w:r>
      <w:proofErr w:type="gramEnd"/>
      <w:r w:rsidRPr="00550593">
        <w:t>.</w:t>
      </w:r>
      <w:r w:rsidR="00873ECE">
        <w:t xml:space="preserve"> </w:t>
      </w:r>
      <w:r w:rsidR="00020011" w:rsidRPr="00020011">
        <w:t xml:space="preserve">Any other document sent together with the </w:t>
      </w:r>
      <w:r w:rsidR="00873ECE">
        <w:t>tender</w:t>
      </w:r>
      <w:r w:rsidR="00020011" w:rsidRPr="00020011">
        <w:t xml:space="preserve"> submitted in a language other than </w:t>
      </w:r>
      <w:r w:rsidR="00766094">
        <w:t>English</w:t>
      </w:r>
      <w:r w:rsidR="00020011" w:rsidRPr="00020011">
        <w:t xml:space="preserve"> shall not be considered for the evaluation unless it is </w:t>
      </w:r>
      <w:r w:rsidR="00766094">
        <w:t>accompanied by a translation into the English language</w:t>
      </w:r>
      <w:r w:rsidR="00020011" w:rsidRPr="00020011">
        <w:t>.</w:t>
      </w:r>
    </w:p>
    <w:p w:rsidR="00592593" w:rsidRDefault="00592593" w:rsidP="00234816">
      <w:pPr>
        <w:pStyle w:val="Numbered"/>
        <w:spacing w:before="120"/>
        <w:ind w:left="425" w:hanging="425"/>
      </w:pPr>
      <w:r w:rsidRPr="00627F7F">
        <w:t>You must</w:t>
      </w:r>
      <w:r w:rsidR="00627F7F" w:rsidRPr="00627F7F">
        <w:t xml:space="preserve"> </w:t>
      </w:r>
      <w:r w:rsidR="00FF50D1" w:rsidRPr="00627F7F">
        <w:t xml:space="preserve">submit </w:t>
      </w:r>
      <w:r w:rsidRPr="00627F7F">
        <w:t xml:space="preserve">your </w:t>
      </w:r>
      <w:r w:rsidR="00077E8C" w:rsidRPr="00627F7F">
        <w:t>tender</w:t>
      </w:r>
      <w:r w:rsidR="00627F7F" w:rsidRPr="00627F7F">
        <w:t xml:space="preserve"> </w:t>
      </w:r>
      <w:r w:rsidRPr="00627F7F">
        <w:t xml:space="preserve">in one original </w:t>
      </w:r>
      <w:r w:rsidR="00235738" w:rsidRPr="00627F7F">
        <w:t xml:space="preserve">on paper </w:t>
      </w:r>
      <w:r w:rsidRPr="00627F7F">
        <w:t xml:space="preserve">and </w:t>
      </w:r>
      <w:r w:rsidR="00D24ADF" w:rsidRPr="00627F7F">
        <w:t>three</w:t>
      </w:r>
      <w:r w:rsidR="00627F7F" w:rsidRPr="00627F7F">
        <w:t xml:space="preserve"> </w:t>
      </w:r>
      <w:r w:rsidR="00000081" w:rsidRPr="00627F7F">
        <w:t xml:space="preserve">paper </w:t>
      </w:r>
      <w:r w:rsidRPr="00627F7F">
        <w:t>copies.</w:t>
      </w:r>
      <w:r w:rsidR="00E663E7">
        <w:t xml:space="preserve"> </w:t>
      </w:r>
      <w:r w:rsidRPr="00627F7F">
        <w:t xml:space="preserve">The </w:t>
      </w:r>
      <w:r w:rsidR="00235738" w:rsidRPr="00627F7F">
        <w:t xml:space="preserve">tender </w:t>
      </w:r>
      <w:r w:rsidRPr="00627F7F">
        <w:t>m</w:t>
      </w:r>
      <w:r w:rsidRPr="004575B1">
        <w:t xml:space="preserve">ust be placed inside two closed envelopes addressed as indicated below. The inner envelope should be marked as follows: </w:t>
      </w:r>
      <w:r w:rsidRPr="00E663E7">
        <w:t xml:space="preserve">"CALL FOR TENDERS </w:t>
      </w:r>
      <w:r w:rsidR="00D24ADF" w:rsidRPr="00E663E7">
        <w:t>EEAS-DELUKR-SER-DIR-2016</w:t>
      </w:r>
      <w:r w:rsidR="00E663E7" w:rsidRPr="00E663E7">
        <w:t>, "EU STUDY DAYS IN UKRAINE"</w:t>
      </w:r>
      <w:r w:rsidRPr="004575B1">
        <w:t>– NOT TO BE OPENED BY THE INTERNAL MAIL DEPARTMENT".</w:t>
      </w:r>
    </w:p>
    <w:p w:rsidR="00592593" w:rsidRDefault="00592593" w:rsidP="00756A81">
      <w:pPr>
        <w:spacing w:before="100" w:beforeAutospacing="1" w:after="100" w:afterAutospacing="1"/>
        <w:ind w:left="426"/>
        <w:jc w:val="both"/>
      </w:pPr>
      <w:r w:rsidRPr="004575B1">
        <w:t>The inner envelope must also contain two closed envelopes, one containing the technical tender and the other the financial tender. Each of these envelopes must clearly indicate the content ("Technical" and "Financial").</w:t>
      </w:r>
    </w:p>
    <w:p w:rsidR="0076119F" w:rsidRDefault="008A3E9A" w:rsidP="00756A81">
      <w:pPr>
        <w:spacing w:before="100" w:beforeAutospacing="1" w:after="100" w:afterAutospacing="1"/>
        <w:ind w:left="426"/>
        <w:jc w:val="both"/>
      </w:pPr>
      <w:r w:rsidRPr="004575B1">
        <w:t xml:space="preserve">The tender must be </w:t>
      </w:r>
      <w:r w:rsidR="00FF5B9A" w:rsidRPr="004575B1">
        <w:t xml:space="preserve">submitted </w:t>
      </w:r>
      <w:r w:rsidRPr="004575B1">
        <w:t xml:space="preserve">no later than </w:t>
      </w:r>
      <w:r w:rsidR="00234816">
        <w:t>01</w:t>
      </w:r>
      <w:r w:rsidR="00820371" w:rsidRPr="00F057D0">
        <w:rPr>
          <w:b/>
        </w:rPr>
        <w:t xml:space="preserve"> </w:t>
      </w:r>
      <w:r w:rsidR="00234816">
        <w:rPr>
          <w:b/>
        </w:rPr>
        <w:t>September</w:t>
      </w:r>
      <w:r w:rsidR="00820371" w:rsidRPr="00820371">
        <w:rPr>
          <w:b/>
        </w:rPr>
        <w:t xml:space="preserve"> 2016.</w:t>
      </w:r>
      <w:r w:rsidR="00820371">
        <w:t xml:space="preserve"> Y</w:t>
      </w:r>
      <w:r w:rsidR="00DC7F3E" w:rsidRPr="004575B1">
        <w:t xml:space="preserve">ou must </w:t>
      </w:r>
      <w:r w:rsidRPr="004575B1">
        <w:t xml:space="preserve">use </w:t>
      </w:r>
      <w:r w:rsidR="001656E0" w:rsidRPr="004575B1">
        <w:t xml:space="preserve">one of the following </w:t>
      </w:r>
      <w:r w:rsidRPr="004575B1">
        <w:t>means of submission</w:t>
      </w:r>
      <w:r w:rsidR="00DC7F3E">
        <w:t>:</w:t>
      </w:r>
    </w:p>
    <w:p w:rsidR="00FF50D1" w:rsidRDefault="00FF50D1" w:rsidP="00756A81">
      <w:pPr>
        <w:spacing w:before="100" w:beforeAutospacing="1" w:after="100" w:afterAutospacing="1"/>
        <w:ind w:left="426"/>
        <w:jc w:val="both"/>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560"/>
        <w:gridCol w:w="1842"/>
        <w:gridCol w:w="3969"/>
      </w:tblGrid>
      <w:tr w:rsidR="00DF14CF" w:rsidTr="00B6302D">
        <w:tc>
          <w:tcPr>
            <w:tcW w:w="1100" w:type="dxa"/>
            <w:tcBorders>
              <w:bottom w:val="single" w:sz="2" w:space="0" w:color="auto"/>
            </w:tcBorders>
            <w:shd w:val="clear" w:color="auto" w:fill="auto"/>
          </w:tcPr>
          <w:p w:rsidR="00DF14CF" w:rsidRDefault="008A3E9A" w:rsidP="00B6302D">
            <w:pPr>
              <w:spacing w:before="100" w:beforeAutospacing="1" w:after="100" w:afterAutospacing="1"/>
              <w:jc w:val="center"/>
            </w:pPr>
            <w:r>
              <w:t>Means of submission</w:t>
            </w:r>
          </w:p>
        </w:tc>
        <w:tc>
          <w:tcPr>
            <w:tcW w:w="1560" w:type="dxa"/>
            <w:tcBorders>
              <w:bottom w:val="single" w:sz="2" w:space="0" w:color="auto"/>
            </w:tcBorders>
            <w:shd w:val="clear" w:color="auto" w:fill="auto"/>
          </w:tcPr>
          <w:p w:rsidR="00DF14CF" w:rsidRDefault="00DF14CF" w:rsidP="00B6302D">
            <w:pPr>
              <w:spacing w:before="100" w:beforeAutospacing="1" w:after="100" w:afterAutospacing="1"/>
              <w:jc w:val="center"/>
            </w:pPr>
            <w:r>
              <w:t>Time limit</w:t>
            </w:r>
          </w:p>
        </w:tc>
        <w:tc>
          <w:tcPr>
            <w:tcW w:w="1842" w:type="dxa"/>
            <w:tcBorders>
              <w:bottom w:val="single" w:sz="2" w:space="0" w:color="auto"/>
            </w:tcBorders>
            <w:shd w:val="clear" w:color="auto" w:fill="auto"/>
          </w:tcPr>
          <w:p w:rsidR="00DF14CF" w:rsidRDefault="00DF14CF" w:rsidP="00B6302D">
            <w:pPr>
              <w:spacing w:before="100" w:beforeAutospacing="1" w:after="100" w:afterAutospacing="1"/>
              <w:jc w:val="center"/>
            </w:pPr>
            <w:r>
              <w:t>Evidence of dispatch</w:t>
            </w:r>
          </w:p>
        </w:tc>
        <w:tc>
          <w:tcPr>
            <w:tcW w:w="3969" w:type="dxa"/>
            <w:tcBorders>
              <w:bottom w:val="single" w:sz="2" w:space="0" w:color="auto"/>
            </w:tcBorders>
            <w:shd w:val="clear" w:color="auto" w:fill="auto"/>
          </w:tcPr>
          <w:p w:rsidR="00DF14CF" w:rsidRDefault="00DF14CF" w:rsidP="00B6302D">
            <w:pPr>
              <w:spacing w:before="100" w:beforeAutospacing="1" w:after="100" w:afterAutospacing="1"/>
              <w:jc w:val="center"/>
            </w:pPr>
            <w:r>
              <w:t>Address for delivery</w:t>
            </w:r>
          </w:p>
        </w:tc>
      </w:tr>
      <w:tr w:rsidR="00DF14CF" w:rsidTr="00B6302D">
        <w:tc>
          <w:tcPr>
            <w:tcW w:w="1100" w:type="dxa"/>
            <w:tcBorders>
              <w:top w:val="single" w:sz="2" w:space="0" w:color="auto"/>
              <w:left w:val="single" w:sz="2" w:space="0" w:color="auto"/>
              <w:bottom w:val="single" w:sz="18" w:space="0" w:color="auto"/>
              <w:right w:val="single" w:sz="2" w:space="0" w:color="auto"/>
            </w:tcBorders>
            <w:shd w:val="clear" w:color="auto" w:fill="auto"/>
            <w:vAlign w:val="center"/>
          </w:tcPr>
          <w:p w:rsidR="00DF14CF" w:rsidRDefault="00DF14CF" w:rsidP="00A10DF1">
            <w:pPr>
              <w:spacing w:before="100" w:beforeAutospacing="1" w:after="100" w:afterAutospacing="1"/>
              <w:jc w:val="both"/>
            </w:pPr>
            <w:r>
              <w:t>Post</w:t>
            </w:r>
          </w:p>
        </w:tc>
        <w:tc>
          <w:tcPr>
            <w:tcW w:w="1560" w:type="dxa"/>
            <w:tcBorders>
              <w:top w:val="single" w:sz="2" w:space="0" w:color="auto"/>
              <w:left w:val="single" w:sz="2" w:space="0" w:color="auto"/>
              <w:bottom w:val="single" w:sz="18" w:space="0" w:color="auto"/>
              <w:right w:val="single" w:sz="2" w:space="0" w:color="auto"/>
            </w:tcBorders>
            <w:shd w:val="clear" w:color="auto" w:fill="auto"/>
            <w:vAlign w:val="center"/>
          </w:tcPr>
          <w:p w:rsidR="00234816" w:rsidRDefault="00234816" w:rsidP="00C76531">
            <w:pPr>
              <w:spacing w:before="100" w:beforeAutospacing="1" w:after="100" w:afterAutospacing="1"/>
              <w:jc w:val="both"/>
              <w:rPr>
                <w:b/>
              </w:rPr>
            </w:pPr>
            <w:r w:rsidRPr="00234816">
              <w:rPr>
                <w:b/>
              </w:rPr>
              <w:t>01/09/2016</w:t>
            </w:r>
          </w:p>
          <w:p w:rsidR="00C76531" w:rsidRDefault="00C76531" w:rsidP="00C76531">
            <w:pPr>
              <w:spacing w:before="100" w:beforeAutospacing="1" w:after="100" w:afterAutospacing="1"/>
              <w:jc w:val="both"/>
              <w:rPr>
                <w:b/>
              </w:rPr>
            </w:pPr>
            <w:r w:rsidRPr="00B6302D">
              <w:rPr>
                <w:b/>
              </w:rPr>
              <w:t>24:00</w:t>
            </w:r>
          </w:p>
          <w:p w:rsidR="00FF5B9A" w:rsidRPr="00B6302D" w:rsidRDefault="00C76531" w:rsidP="00C76531">
            <w:pPr>
              <w:spacing w:before="100" w:beforeAutospacing="1" w:after="100" w:afterAutospacing="1"/>
              <w:jc w:val="both"/>
              <w:rPr>
                <w:b/>
              </w:rPr>
            </w:pPr>
            <w:r>
              <w:rPr>
                <w:b/>
              </w:rPr>
              <w:t>(midnight)</w:t>
            </w:r>
          </w:p>
        </w:tc>
        <w:tc>
          <w:tcPr>
            <w:tcW w:w="1842" w:type="dxa"/>
            <w:tcBorders>
              <w:top w:val="single" w:sz="2" w:space="0" w:color="auto"/>
              <w:left w:val="single" w:sz="2" w:space="0" w:color="auto"/>
              <w:bottom w:val="single" w:sz="18" w:space="0" w:color="auto"/>
              <w:right w:val="single" w:sz="2" w:space="0" w:color="auto"/>
            </w:tcBorders>
            <w:shd w:val="clear" w:color="auto" w:fill="auto"/>
            <w:vAlign w:val="center"/>
          </w:tcPr>
          <w:p w:rsidR="00DF14CF" w:rsidRDefault="00DF14CF" w:rsidP="00A10DF1">
            <w:pPr>
              <w:spacing w:before="100" w:beforeAutospacing="1" w:after="100" w:afterAutospacing="1"/>
              <w:jc w:val="both"/>
            </w:pPr>
            <w:r>
              <w:t xml:space="preserve">Postmark </w:t>
            </w:r>
          </w:p>
        </w:tc>
        <w:tc>
          <w:tcPr>
            <w:tcW w:w="3969" w:type="dxa"/>
            <w:tcBorders>
              <w:top w:val="single" w:sz="2" w:space="0" w:color="auto"/>
              <w:left w:val="single" w:sz="2" w:space="0" w:color="auto"/>
              <w:bottom w:val="single" w:sz="18" w:space="0" w:color="auto"/>
              <w:right w:val="single" w:sz="2" w:space="0" w:color="auto"/>
            </w:tcBorders>
            <w:shd w:val="clear" w:color="auto" w:fill="auto"/>
            <w:vAlign w:val="center"/>
          </w:tcPr>
          <w:p w:rsidR="00FF5B9A" w:rsidRPr="00766094" w:rsidRDefault="00FF5B9A" w:rsidP="00FF5B9A">
            <w:pPr>
              <w:jc w:val="both"/>
              <w:rPr>
                <w:lang w:val="nb-NO"/>
              </w:rPr>
            </w:pPr>
            <w:r w:rsidRPr="00766094">
              <w:rPr>
                <w:lang w:val="nb-NO"/>
              </w:rPr>
              <w:t>CALL FOR TENDERS</w:t>
            </w:r>
          </w:p>
          <w:p w:rsidR="00AF092A" w:rsidRPr="00766094" w:rsidRDefault="00AF092A" w:rsidP="00FF5B9A">
            <w:pPr>
              <w:jc w:val="both"/>
              <w:rPr>
                <w:b/>
                <w:bCs/>
                <w:lang w:val="nb-NO"/>
              </w:rPr>
            </w:pPr>
            <w:r w:rsidRPr="00766094">
              <w:rPr>
                <w:b/>
                <w:bCs/>
                <w:lang w:val="nb-NO"/>
              </w:rPr>
              <w:t>EEAS-DELUKR-SER-DIR-2016</w:t>
            </w:r>
          </w:p>
          <w:p w:rsidR="00E663E7" w:rsidRDefault="00E663E7" w:rsidP="00FF5B9A">
            <w:pPr>
              <w:jc w:val="both"/>
              <w:rPr>
                <w:b/>
                <w:bCs/>
              </w:rPr>
            </w:pPr>
            <w:r w:rsidRPr="00E663E7">
              <w:rPr>
                <w:b/>
                <w:bCs/>
              </w:rPr>
              <w:t>"EU STUDY DAYS IN UKRAINE"</w:t>
            </w:r>
          </w:p>
          <w:p w:rsidR="00FF5B9A" w:rsidRDefault="00FF5B9A" w:rsidP="00FF5B9A">
            <w:pPr>
              <w:jc w:val="both"/>
            </w:pPr>
            <w:r>
              <w:t xml:space="preserve">EU Delegation to </w:t>
            </w:r>
            <w:r w:rsidR="00AF092A">
              <w:t>Ukraine</w:t>
            </w:r>
            <w:r>
              <w:t xml:space="preserve">, </w:t>
            </w:r>
          </w:p>
          <w:p w:rsidR="00FF5B9A" w:rsidRDefault="00FF5B9A" w:rsidP="00FF5B9A">
            <w:pPr>
              <w:jc w:val="both"/>
            </w:pPr>
            <w:r>
              <w:t xml:space="preserve">For the attention of the </w:t>
            </w:r>
            <w:r w:rsidRPr="004575B1">
              <w:t xml:space="preserve">Head of </w:t>
            </w:r>
            <w:r w:rsidR="005977DB">
              <w:t>P&amp;I Se</w:t>
            </w:r>
            <w:r w:rsidR="00AF092A">
              <w:t>ction</w:t>
            </w:r>
          </w:p>
          <w:p w:rsidR="00DF14CF" w:rsidRDefault="00627F7F" w:rsidP="00B6302D">
            <w:pPr>
              <w:spacing w:before="40"/>
            </w:pPr>
            <w:r w:rsidRPr="00627F7F">
              <w:t>101 Volodymyrska Str., Kyiv,  Ukraine 01033</w:t>
            </w:r>
          </w:p>
        </w:tc>
      </w:tr>
      <w:tr w:rsidR="00DF14CF" w:rsidRPr="002913C8" w:rsidTr="00B6302D">
        <w:trPr>
          <w:trHeight w:val="1032"/>
        </w:trPr>
        <w:tc>
          <w:tcPr>
            <w:tcW w:w="1100" w:type="dxa"/>
            <w:tcBorders>
              <w:top w:val="single" w:sz="18" w:space="0" w:color="auto"/>
            </w:tcBorders>
            <w:shd w:val="clear" w:color="auto" w:fill="auto"/>
            <w:vAlign w:val="center"/>
          </w:tcPr>
          <w:p w:rsidR="00DF14CF" w:rsidRDefault="00DF14CF" w:rsidP="00A10DF1">
            <w:pPr>
              <w:spacing w:before="100" w:beforeAutospacing="1" w:after="100" w:afterAutospacing="1"/>
              <w:jc w:val="both"/>
            </w:pPr>
            <w:r>
              <w:lastRenderedPageBreak/>
              <w:t>Courier</w:t>
            </w:r>
          </w:p>
        </w:tc>
        <w:tc>
          <w:tcPr>
            <w:tcW w:w="1560" w:type="dxa"/>
            <w:tcBorders>
              <w:top w:val="single" w:sz="18" w:space="0" w:color="auto"/>
            </w:tcBorders>
            <w:shd w:val="clear" w:color="auto" w:fill="auto"/>
            <w:vAlign w:val="center"/>
          </w:tcPr>
          <w:p w:rsidR="00820371" w:rsidRDefault="00873ECE" w:rsidP="00B97E23">
            <w:pPr>
              <w:spacing w:before="100" w:beforeAutospacing="1" w:after="100" w:afterAutospacing="1"/>
              <w:jc w:val="both"/>
              <w:rPr>
                <w:b/>
              </w:rPr>
            </w:pPr>
            <w:r>
              <w:rPr>
                <w:b/>
              </w:rPr>
              <w:t>01</w:t>
            </w:r>
            <w:r w:rsidR="00820371">
              <w:rPr>
                <w:b/>
              </w:rPr>
              <w:t>/0</w:t>
            </w:r>
            <w:r>
              <w:rPr>
                <w:b/>
              </w:rPr>
              <w:t>9</w:t>
            </w:r>
            <w:r w:rsidR="00820371">
              <w:rPr>
                <w:b/>
              </w:rPr>
              <w:t>/2016</w:t>
            </w:r>
            <w:r w:rsidR="00AF092A">
              <w:rPr>
                <w:b/>
              </w:rPr>
              <w:t xml:space="preserve"> </w:t>
            </w:r>
          </w:p>
          <w:p w:rsidR="00DF14CF" w:rsidRPr="00B6302D" w:rsidRDefault="00C76531" w:rsidP="00B97E23">
            <w:pPr>
              <w:spacing w:before="100" w:beforeAutospacing="1" w:after="100" w:afterAutospacing="1"/>
              <w:jc w:val="both"/>
              <w:rPr>
                <w:b/>
              </w:rPr>
            </w:pPr>
            <w:r w:rsidRPr="00C76531">
              <w:rPr>
                <w:b/>
              </w:rPr>
              <w:t>24:00 (midnight)</w:t>
            </w:r>
          </w:p>
        </w:tc>
        <w:tc>
          <w:tcPr>
            <w:tcW w:w="1842" w:type="dxa"/>
            <w:tcBorders>
              <w:top w:val="single" w:sz="18" w:space="0" w:color="auto"/>
            </w:tcBorders>
            <w:shd w:val="clear" w:color="auto" w:fill="auto"/>
            <w:vAlign w:val="center"/>
          </w:tcPr>
          <w:p w:rsidR="00DF14CF" w:rsidRDefault="00DF14CF" w:rsidP="00A10DF1">
            <w:pPr>
              <w:spacing w:before="100" w:beforeAutospacing="1" w:after="100" w:afterAutospacing="1"/>
              <w:jc w:val="both"/>
            </w:pPr>
            <w:r>
              <w:t>Deposit slip</w:t>
            </w:r>
            <w:r w:rsidR="008A3E9A">
              <w:t xml:space="preserve"> of courier service</w:t>
            </w:r>
          </w:p>
        </w:tc>
        <w:tc>
          <w:tcPr>
            <w:tcW w:w="3969" w:type="dxa"/>
            <w:vMerge w:val="restart"/>
            <w:tcBorders>
              <w:top w:val="single" w:sz="18" w:space="0" w:color="auto"/>
            </w:tcBorders>
            <w:shd w:val="clear" w:color="auto" w:fill="auto"/>
            <w:vAlign w:val="center"/>
          </w:tcPr>
          <w:p w:rsidR="002913C8" w:rsidRPr="004575B1" w:rsidRDefault="002913C8" w:rsidP="00B6302D">
            <w:pPr>
              <w:spacing w:before="40"/>
            </w:pPr>
            <w:r w:rsidRPr="004575B1">
              <w:t>For delegations:</w:t>
            </w:r>
          </w:p>
          <w:p w:rsidR="002913C8" w:rsidRDefault="002913C8" w:rsidP="002913C8">
            <w:pPr>
              <w:jc w:val="both"/>
            </w:pPr>
            <w:r>
              <w:t>CALL FOR TENDERS</w:t>
            </w:r>
          </w:p>
          <w:p w:rsidR="00AF092A" w:rsidRPr="005977DB" w:rsidRDefault="00AF092A" w:rsidP="002913C8">
            <w:pPr>
              <w:jc w:val="both"/>
              <w:rPr>
                <w:b/>
                <w:bCs/>
              </w:rPr>
            </w:pPr>
            <w:r w:rsidRPr="005977DB">
              <w:rPr>
                <w:b/>
                <w:bCs/>
              </w:rPr>
              <w:t>EEAS-DELUKR-SER-DIR-2016</w:t>
            </w:r>
          </w:p>
          <w:p w:rsidR="00AF092A" w:rsidRPr="005977DB" w:rsidRDefault="00E663E7" w:rsidP="002913C8">
            <w:pPr>
              <w:jc w:val="both"/>
              <w:rPr>
                <w:b/>
                <w:bCs/>
              </w:rPr>
            </w:pPr>
            <w:r w:rsidRPr="00E663E7">
              <w:rPr>
                <w:b/>
                <w:bCs/>
              </w:rPr>
              <w:t>"EU STUDY DAYS IN UKRAINE"</w:t>
            </w:r>
          </w:p>
          <w:p w:rsidR="002913C8" w:rsidRDefault="002913C8" w:rsidP="002913C8">
            <w:pPr>
              <w:jc w:val="both"/>
            </w:pPr>
            <w:r>
              <w:t xml:space="preserve">EU Delegation to </w:t>
            </w:r>
            <w:r w:rsidR="00AF092A">
              <w:t>Ukraine</w:t>
            </w:r>
            <w:r>
              <w:t xml:space="preserve">, </w:t>
            </w:r>
          </w:p>
          <w:p w:rsidR="002913C8" w:rsidRDefault="002913C8" w:rsidP="002913C8">
            <w:pPr>
              <w:jc w:val="both"/>
            </w:pPr>
            <w:r>
              <w:t xml:space="preserve">For the attention of the </w:t>
            </w:r>
            <w:r w:rsidRPr="00822CD3">
              <w:t>Head of Delegation</w:t>
            </w:r>
          </w:p>
          <w:p w:rsidR="00DF14CF" w:rsidRPr="004575B1" w:rsidRDefault="00627F7F" w:rsidP="00B6302D">
            <w:pPr>
              <w:spacing w:before="40"/>
              <w:rPr>
                <w:lang w:val="fr-BE"/>
              </w:rPr>
            </w:pPr>
            <w:r w:rsidRPr="00627F7F">
              <w:t>101 Volodymyrska Str., Kyiv,  Ukraine 01033</w:t>
            </w:r>
          </w:p>
        </w:tc>
      </w:tr>
      <w:tr w:rsidR="00DF14CF" w:rsidTr="00A10DF1">
        <w:tc>
          <w:tcPr>
            <w:tcW w:w="1100" w:type="dxa"/>
            <w:shd w:val="clear" w:color="auto" w:fill="auto"/>
            <w:vAlign w:val="center"/>
          </w:tcPr>
          <w:p w:rsidR="00DF14CF" w:rsidRDefault="008A3E9A" w:rsidP="00A10DF1">
            <w:pPr>
              <w:spacing w:before="100" w:beforeAutospacing="1" w:after="100" w:afterAutospacing="1"/>
              <w:jc w:val="both"/>
            </w:pPr>
            <w:r>
              <w:t>In person (hand delivery)</w:t>
            </w:r>
          </w:p>
        </w:tc>
        <w:tc>
          <w:tcPr>
            <w:tcW w:w="1560" w:type="dxa"/>
            <w:shd w:val="clear" w:color="auto" w:fill="auto"/>
            <w:vAlign w:val="center"/>
          </w:tcPr>
          <w:p w:rsidR="00820371" w:rsidRDefault="00873ECE" w:rsidP="00AF092A">
            <w:pPr>
              <w:spacing w:before="100" w:beforeAutospacing="1" w:after="100" w:afterAutospacing="1"/>
              <w:jc w:val="both"/>
              <w:rPr>
                <w:b/>
              </w:rPr>
            </w:pPr>
            <w:r>
              <w:rPr>
                <w:b/>
              </w:rPr>
              <w:t>01</w:t>
            </w:r>
            <w:r w:rsidR="00820371">
              <w:rPr>
                <w:b/>
              </w:rPr>
              <w:t>/0</w:t>
            </w:r>
            <w:r>
              <w:rPr>
                <w:b/>
              </w:rPr>
              <w:t>9</w:t>
            </w:r>
            <w:r w:rsidR="00820371">
              <w:rPr>
                <w:b/>
              </w:rPr>
              <w:t>/2016</w:t>
            </w:r>
            <w:r w:rsidR="00AF092A">
              <w:rPr>
                <w:b/>
              </w:rPr>
              <w:t xml:space="preserve"> </w:t>
            </w:r>
          </w:p>
          <w:p w:rsidR="002913C8" w:rsidRPr="00B6302D" w:rsidRDefault="00BB24E2" w:rsidP="00AF092A">
            <w:pPr>
              <w:spacing w:before="100" w:beforeAutospacing="1" w:after="100" w:afterAutospacing="1"/>
              <w:jc w:val="both"/>
              <w:rPr>
                <w:b/>
              </w:rPr>
            </w:pPr>
            <w:r>
              <w:rPr>
                <w:b/>
              </w:rPr>
              <w:t>24</w:t>
            </w:r>
            <w:r w:rsidR="00126B0B">
              <w:rPr>
                <w:b/>
              </w:rPr>
              <w:t>:00</w:t>
            </w:r>
            <w:r>
              <w:rPr>
                <w:b/>
              </w:rPr>
              <w:t>, midnight</w:t>
            </w:r>
            <w:r w:rsidR="00AF092A">
              <w:rPr>
                <w:b/>
              </w:rPr>
              <w:t xml:space="preserve"> (Kyiv</w:t>
            </w:r>
            <w:r w:rsidR="00126B0B">
              <w:rPr>
                <w:b/>
              </w:rPr>
              <w:t xml:space="preserve"> time</w:t>
            </w:r>
            <w:r w:rsidR="00AF092A">
              <w:rPr>
                <w:b/>
              </w:rPr>
              <w:t>)</w:t>
            </w:r>
          </w:p>
        </w:tc>
        <w:tc>
          <w:tcPr>
            <w:tcW w:w="1842" w:type="dxa"/>
            <w:shd w:val="clear" w:color="auto" w:fill="auto"/>
            <w:vAlign w:val="center"/>
          </w:tcPr>
          <w:p w:rsidR="000D71E4" w:rsidRDefault="000D71E4" w:rsidP="000D71E4">
            <w:pPr>
              <w:spacing w:before="100" w:beforeAutospacing="1" w:after="100" w:afterAutospacing="1"/>
            </w:pPr>
            <w:r>
              <w:t xml:space="preserve">Proof of </w:t>
            </w:r>
            <w:r w:rsidRPr="00550593">
              <w:t>receipt, signed and dated by the</w:t>
            </w:r>
            <w:r>
              <w:t xml:space="preserve"> duly authorised agent, </w:t>
            </w:r>
            <w:r w:rsidRPr="004575B1">
              <w:rPr>
                <w:i/>
              </w:rPr>
              <w:t>aware of the rules of submission</w:t>
            </w:r>
            <w:r w:rsidRPr="004575B1">
              <w:t>,</w:t>
            </w:r>
            <w:r w:rsidRPr="00550593">
              <w:t xml:space="preserve"> who t</w:t>
            </w:r>
            <w:r>
              <w:t>a</w:t>
            </w:r>
            <w:r w:rsidRPr="00550593">
              <w:t>k</w:t>
            </w:r>
            <w:r>
              <w:t>es</w:t>
            </w:r>
            <w:r w:rsidRPr="00550593">
              <w:t xml:space="preserve"> delivery</w:t>
            </w:r>
          </w:p>
          <w:p w:rsidR="000D71E4" w:rsidRDefault="000D71E4" w:rsidP="00A10DF1">
            <w:pPr>
              <w:spacing w:before="100" w:beforeAutospacing="1" w:after="100" w:afterAutospacing="1"/>
            </w:pPr>
          </w:p>
        </w:tc>
        <w:tc>
          <w:tcPr>
            <w:tcW w:w="3969" w:type="dxa"/>
            <w:vMerge/>
            <w:shd w:val="clear" w:color="auto" w:fill="auto"/>
          </w:tcPr>
          <w:p w:rsidR="00DF14CF" w:rsidRDefault="00DF14CF" w:rsidP="00A10DF1">
            <w:pPr>
              <w:spacing w:before="100" w:beforeAutospacing="1" w:after="100" w:afterAutospacing="1"/>
              <w:jc w:val="both"/>
            </w:pPr>
          </w:p>
        </w:tc>
      </w:tr>
    </w:tbl>
    <w:p w:rsidR="00FF50D1" w:rsidRPr="00B7605B" w:rsidRDefault="00FF50D1" w:rsidP="00234816">
      <w:pPr>
        <w:pStyle w:val="Numbered"/>
        <w:spacing w:before="120" w:after="100" w:afterAutospacing="1"/>
      </w:pPr>
      <w:r w:rsidRPr="00550593">
        <w:t>Tenders must be:</w:t>
      </w:r>
    </w:p>
    <w:p w:rsidR="005260A7" w:rsidRDefault="005260A7" w:rsidP="00234816">
      <w:pPr>
        <w:pStyle w:val="Numbered"/>
        <w:numPr>
          <w:ilvl w:val="1"/>
          <w:numId w:val="7"/>
        </w:numPr>
        <w:spacing w:before="120" w:after="100" w:afterAutospacing="1"/>
        <w:ind w:left="993" w:hanging="567"/>
      </w:pPr>
      <w:r>
        <w:t>signed by a duly authorised representative of the tenderer;</w:t>
      </w:r>
    </w:p>
    <w:p w:rsidR="00FF50D1" w:rsidRPr="00B7605B" w:rsidRDefault="00FF50D1" w:rsidP="00234816">
      <w:pPr>
        <w:numPr>
          <w:ilvl w:val="1"/>
          <w:numId w:val="7"/>
        </w:numPr>
        <w:spacing w:before="120" w:after="100" w:afterAutospacing="1"/>
        <w:ind w:left="993" w:hanging="567"/>
        <w:jc w:val="both"/>
      </w:pPr>
      <w:r w:rsidRPr="00550593">
        <w:t>perfectly legible so that there can be no doubt as to words and figures;</w:t>
      </w:r>
    </w:p>
    <w:p w:rsidR="00FF50D1" w:rsidRPr="00B97E23" w:rsidRDefault="00FF50D1" w:rsidP="00234816">
      <w:pPr>
        <w:numPr>
          <w:ilvl w:val="1"/>
          <w:numId w:val="7"/>
        </w:numPr>
        <w:spacing w:before="120" w:after="100" w:afterAutospacing="1"/>
        <w:ind w:left="993" w:hanging="567"/>
        <w:jc w:val="both"/>
      </w:pPr>
      <w:proofErr w:type="gramStart"/>
      <w:r w:rsidRPr="004575B1">
        <w:t>drawn</w:t>
      </w:r>
      <w:proofErr w:type="gramEnd"/>
      <w:r w:rsidRPr="004575B1">
        <w:t xml:space="preserve"> up using the model reply forms in the </w:t>
      </w:r>
      <w:r w:rsidR="00423BED" w:rsidRPr="004575B1">
        <w:t xml:space="preserve">tender </w:t>
      </w:r>
      <w:r w:rsidRPr="004575B1">
        <w:t>specification</w:t>
      </w:r>
      <w:r w:rsidR="0076119F" w:rsidRPr="004575B1">
        <w:t>s</w:t>
      </w:r>
      <w:r w:rsidRPr="00B97E23">
        <w:t>.</w:t>
      </w:r>
    </w:p>
    <w:p w:rsidR="00FF50D1" w:rsidRPr="004575B1" w:rsidRDefault="001100E8" w:rsidP="00234816">
      <w:pPr>
        <w:pStyle w:val="Numbered"/>
        <w:spacing w:before="120" w:after="100" w:afterAutospacing="1"/>
      </w:pPr>
      <w:r>
        <w:t>The p</w:t>
      </w:r>
      <w:r w:rsidR="00FF50D1" w:rsidRPr="00550593">
        <w:t>eriod of validity of the tender, during which tenderer</w:t>
      </w:r>
      <w:r w:rsidR="00FF50D1">
        <w:t>s</w:t>
      </w:r>
      <w:r w:rsidR="00FF50D1" w:rsidRPr="00550593">
        <w:t xml:space="preserve"> may not modify the terms of </w:t>
      </w:r>
      <w:r w:rsidR="00FF50D1">
        <w:t xml:space="preserve">their </w:t>
      </w:r>
      <w:r w:rsidR="00FF50D1" w:rsidRPr="00550593">
        <w:t>tender</w:t>
      </w:r>
      <w:r w:rsidR="00FF50D1">
        <w:t>s</w:t>
      </w:r>
      <w:r w:rsidR="00FF50D1" w:rsidRPr="00550593">
        <w:t xml:space="preserve"> in any respect</w:t>
      </w:r>
      <w:r w:rsidR="00454F5E">
        <w:t>,</w:t>
      </w:r>
      <w:r>
        <w:t xml:space="preserve"> is</w:t>
      </w:r>
      <w:r w:rsidR="00AF092A">
        <w:t xml:space="preserve"> </w:t>
      </w:r>
      <w:r w:rsidR="00873ECE">
        <w:t xml:space="preserve">6 </w:t>
      </w:r>
      <w:r w:rsidR="00423BED">
        <w:t xml:space="preserve"> </w:t>
      </w:r>
      <w:r w:rsidR="00FF50D1" w:rsidRPr="004575B1">
        <w:t xml:space="preserve">months from </w:t>
      </w:r>
      <w:r w:rsidR="00B3488F" w:rsidRPr="004575B1">
        <w:t>the date</w:t>
      </w:r>
      <w:r w:rsidR="008E2B9F" w:rsidRPr="004575B1">
        <w:t xml:space="preserve"> indicated in point 3. </w:t>
      </w:r>
    </w:p>
    <w:p w:rsidR="00FF50D1" w:rsidRDefault="00FF50D1" w:rsidP="001C3AB6">
      <w:pPr>
        <w:pStyle w:val="Numbered"/>
        <w:spacing w:before="120" w:after="100" w:afterAutospacing="1"/>
        <w:ind w:left="425" w:hanging="425"/>
      </w:pPr>
      <w:r w:rsidRPr="00550593">
        <w:t xml:space="preserve">Submission of a tender implies acceptance of all the terms and conditions set out in </w:t>
      </w:r>
      <w:r w:rsidR="00DF14CF">
        <w:t>the procurement documents</w:t>
      </w:r>
      <w:r w:rsidRPr="00550593">
        <w:t xml:space="preserve"> and, where appropriate, waiver of the tenderer's own general or specific terms and conditions.</w:t>
      </w:r>
      <w:r w:rsidR="008B03A1">
        <w:t>The submitted</w:t>
      </w:r>
      <w:r w:rsidR="001100E8">
        <w:t xml:space="preserve"> tender</w:t>
      </w:r>
      <w:r w:rsidRPr="00550593">
        <w:t>is binding on the tenderer to whom the contract is awarded for the duration of the contract.</w:t>
      </w:r>
    </w:p>
    <w:p w:rsidR="00423BED" w:rsidRPr="00B7605B" w:rsidRDefault="00423BED" w:rsidP="001C3AB6">
      <w:pPr>
        <w:pStyle w:val="Numbered"/>
        <w:spacing w:before="120" w:after="100" w:afterAutospacing="1"/>
        <w:ind w:left="425" w:hanging="425"/>
      </w:pPr>
      <w:r>
        <w:t xml:space="preserve">All costs incurred </w:t>
      </w:r>
      <w:r w:rsidR="00A84058">
        <w:t xml:space="preserve">for </w:t>
      </w:r>
      <w:r>
        <w:t xml:space="preserve">the preparation and submission of tenders are to be borne by the tenderers and will not be reimbursed. </w:t>
      </w:r>
    </w:p>
    <w:p w:rsidR="001C3AB6" w:rsidRPr="001C3AB6" w:rsidRDefault="001C3AB6" w:rsidP="001C3AB6">
      <w:pPr>
        <w:pStyle w:val="Numbered"/>
        <w:spacing w:before="120"/>
        <w:ind w:left="425" w:hanging="425"/>
      </w:pPr>
      <w:r w:rsidRPr="001C3AB6">
        <w:t>One representative per tender can attend the opening of tenders as provided in Section IV.2.7 of the contract notice. For organisational and security reasons, the tenderer must provide the full name and ID or passport number of the representatives at least 3 working days in advance to:</w:t>
      </w:r>
      <w:r>
        <w:t xml:space="preserve"> </w:t>
      </w:r>
      <w:r w:rsidRPr="001C3AB6">
        <w:t>DELEGATION-UKRAINE-PI-TENDER@eeas.europa.eu. Failing that, the contracting authority reserves the right to refuse access to its premises.</w:t>
      </w:r>
    </w:p>
    <w:p w:rsidR="00FF50D1" w:rsidRPr="00B7605B" w:rsidRDefault="00FF50D1" w:rsidP="001C3AB6">
      <w:pPr>
        <w:pStyle w:val="Numbered"/>
        <w:spacing w:before="120" w:after="100" w:afterAutospacing="1"/>
        <w:ind w:left="425" w:hanging="425"/>
      </w:pPr>
      <w:r w:rsidRPr="00B6302D">
        <w:t xml:space="preserve">Contacts between the contracting authority and </w:t>
      </w:r>
      <w:r w:rsidR="0031382F" w:rsidRPr="00B6302D">
        <w:t xml:space="preserve">candidates or </w:t>
      </w:r>
      <w:r w:rsidRPr="00B6302D">
        <w:t>tenderersare prohibited</w:t>
      </w:r>
      <w:r w:rsidRPr="00550593">
        <w:t xml:space="preserve"> throughout the procedure save in exceptional circumstancesand under the following conditions only:</w:t>
      </w:r>
    </w:p>
    <w:p w:rsidR="00FF50D1" w:rsidRDefault="00FF50D1" w:rsidP="00756A81">
      <w:pPr>
        <w:tabs>
          <w:tab w:val="left" w:pos="900"/>
        </w:tabs>
        <w:spacing w:before="100" w:beforeAutospacing="1" w:after="100" w:afterAutospacing="1"/>
        <w:jc w:val="both"/>
        <w:rPr>
          <w:u w:val="single"/>
        </w:rPr>
      </w:pPr>
      <w:r w:rsidRPr="00550593">
        <w:rPr>
          <w:u w:val="single"/>
        </w:rPr>
        <w:t xml:space="preserve">Before the </w:t>
      </w:r>
      <w:r w:rsidR="008B03A1">
        <w:rPr>
          <w:u w:val="single"/>
        </w:rPr>
        <w:t xml:space="preserve">date of </w:t>
      </w:r>
      <w:r w:rsidR="00E92346">
        <w:rPr>
          <w:u w:val="single"/>
        </w:rPr>
        <w:t xml:space="preserve">submission </w:t>
      </w:r>
      <w:r w:rsidR="004751C3">
        <w:rPr>
          <w:u w:val="single"/>
        </w:rPr>
        <w:t>indicated in point 3</w:t>
      </w:r>
      <w:r w:rsidRPr="00550593">
        <w:rPr>
          <w:u w:val="single"/>
        </w:rPr>
        <w:t>:</w:t>
      </w:r>
    </w:p>
    <w:p w:rsidR="00FF50D1" w:rsidRPr="00B7605B" w:rsidRDefault="008B03A1" w:rsidP="00756A81">
      <w:pPr>
        <w:spacing w:before="100" w:beforeAutospacing="1" w:after="100" w:afterAutospacing="1"/>
        <w:ind w:left="426"/>
        <w:jc w:val="both"/>
      </w:pPr>
      <w:r>
        <w:t>Upon</w:t>
      </w:r>
      <w:r w:rsidR="00FF50D1" w:rsidRPr="00550593">
        <w:t xml:space="preserve"> request, the contracting </w:t>
      </w:r>
      <w:r w:rsidR="00FF50D1">
        <w:t xml:space="preserve">authority </w:t>
      </w:r>
      <w:r w:rsidR="00FF50D1" w:rsidRPr="00550593">
        <w:t xml:space="preserve">may provide additional information solely for the purpose of clarifying the </w:t>
      </w:r>
      <w:r>
        <w:t>procurement documents</w:t>
      </w:r>
      <w:r w:rsidR="00FF50D1" w:rsidRPr="00550593">
        <w:t>.</w:t>
      </w:r>
    </w:p>
    <w:p w:rsidR="00FF50D1" w:rsidRDefault="00FF50D1" w:rsidP="00756A81">
      <w:pPr>
        <w:spacing w:before="100" w:beforeAutospacing="1" w:after="100" w:afterAutospacing="1"/>
        <w:ind w:left="426"/>
        <w:jc w:val="both"/>
      </w:pPr>
      <w:r w:rsidRPr="00550593">
        <w:t xml:space="preserve">Any request for additional information must be made in writing only </w:t>
      </w:r>
      <w:r w:rsidRPr="004575B1">
        <w:t xml:space="preserve">to </w:t>
      </w:r>
      <w:r w:rsidR="00AF092A" w:rsidRPr="00AF092A">
        <w:t>the</w:t>
      </w:r>
      <w:r w:rsidR="00B3488F" w:rsidRPr="00AF092A">
        <w:t xml:space="preserve"> functional mailbox</w:t>
      </w:r>
      <w:r w:rsidR="00AF092A" w:rsidRPr="00AF092A">
        <w:t xml:space="preserve">: </w:t>
      </w:r>
      <w:hyperlink r:id="rId12" w:history="1">
        <w:r w:rsidR="00096615" w:rsidRPr="005F26F5">
          <w:rPr>
            <w:rStyle w:val="Hyperlink"/>
          </w:rPr>
          <w:t>DELEGATION-UKRAINE-PI-TENDER@eeas.europa.eu</w:t>
        </w:r>
      </w:hyperlink>
    </w:p>
    <w:p w:rsidR="00FF50D1" w:rsidRDefault="004751C3" w:rsidP="00756A81">
      <w:pPr>
        <w:spacing w:before="100" w:beforeAutospacing="1" w:after="100" w:afterAutospacing="1"/>
        <w:ind w:left="426"/>
        <w:jc w:val="both"/>
      </w:pPr>
      <w:r w:rsidRPr="004575B1">
        <w:t>The contracting authority is not bound to reply to r</w:t>
      </w:r>
      <w:r w:rsidR="00FF50D1" w:rsidRPr="004575B1">
        <w:t xml:space="preserve">equests for additional information received less than </w:t>
      </w:r>
      <w:r w:rsidR="00DF14CF" w:rsidRPr="004575B1">
        <w:t xml:space="preserve">six </w:t>
      </w:r>
      <w:r w:rsidR="00FF50D1" w:rsidRPr="004575B1">
        <w:t xml:space="preserve">working days before the date </w:t>
      </w:r>
      <w:r w:rsidR="00DF14CF" w:rsidRPr="004575B1">
        <w:t xml:space="preserve">of </w:t>
      </w:r>
      <w:r w:rsidR="00E92346" w:rsidRPr="004575B1">
        <w:t xml:space="preserve">submission </w:t>
      </w:r>
      <w:r w:rsidR="00AD6439" w:rsidRPr="004575B1">
        <w:t>of tenders</w:t>
      </w:r>
      <w:r w:rsidR="0031382F" w:rsidRPr="004575B1">
        <w:t xml:space="preserve"> indicated in point 3</w:t>
      </w:r>
      <w:r w:rsidR="00FF50D1" w:rsidRPr="004575B1">
        <w:t>.</w:t>
      </w:r>
    </w:p>
    <w:p w:rsidR="00FF50D1" w:rsidRPr="00B7605B" w:rsidRDefault="00FF50D1" w:rsidP="00B6302D">
      <w:pPr>
        <w:spacing w:before="100" w:beforeAutospacing="1" w:after="100" w:afterAutospacing="1"/>
        <w:ind w:left="426"/>
        <w:jc w:val="both"/>
      </w:pPr>
      <w:r w:rsidRPr="00550593">
        <w:lastRenderedPageBreak/>
        <w:t xml:space="preserve">The </w:t>
      </w:r>
      <w:r w:rsidR="008E2B9F" w:rsidRPr="00550593">
        <w:t xml:space="preserve">contracting </w:t>
      </w:r>
      <w:r w:rsidR="008E2B9F">
        <w:t xml:space="preserve">authority </w:t>
      </w:r>
      <w:r w:rsidRPr="00550593">
        <w:t xml:space="preserve">may, on its own initiative, inform interested parties of any error, inaccuracy, omission or any other </w:t>
      </w:r>
      <w:r w:rsidR="008B03A1">
        <w:t xml:space="preserve">type of </w:t>
      </w:r>
      <w:r w:rsidRPr="00550593">
        <w:t xml:space="preserve">clerical error in the text of the </w:t>
      </w:r>
      <w:r w:rsidR="008B03A1">
        <w:t>procurement documents</w:t>
      </w:r>
      <w:r w:rsidRPr="00550593">
        <w:t>.</w:t>
      </w:r>
    </w:p>
    <w:p w:rsidR="00096615" w:rsidRDefault="00FF50D1" w:rsidP="00096615">
      <w:pPr>
        <w:spacing w:before="100" w:beforeAutospacing="1" w:after="100" w:afterAutospacing="1"/>
        <w:ind w:left="426"/>
        <w:jc w:val="both"/>
        <w:rPr>
          <w:i/>
        </w:rPr>
      </w:pPr>
      <w:r w:rsidRPr="00550593">
        <w:t xml:space="preserve">Any additional information including that referred to above will be </w:t>
      </w:r>
      <w:r w:rsidR="00F430B8" w:rsidRPr="004575B1">
        <w:t xml:space="preserve">posted </w:t>
      </w:r>
      <w:r w:rsidR="00F430B8" w:rsidRPr="00096615">
        <w:t>on</w:t>
      </w:r>
      <w:r w:rsidR="00096615">
        <w:t xml:space="preserve">: </w:t>
      </w:r>
      <w:hyperlink r:id="rId13" w:history="1">
        <w:r w:rsidR="00096615" w:rsidRPr="005F26F5">
          <w:rPr>
            <w:rStyle w:val="Hyperlink"/>
            <w:i/>
          </w:rPr>
          <w:t>http://eeas.europa.eu/delegations/ukraine/</w:t>
        </w:r>
      </w:hyperlink>
      <w:r w:rsidR="00096615">
        <w:rPr>
          <w:i/>
        </w:rPr>
        <w:t xml:space="preserve"> </w:t>
      </w:r>
    </w:p>
    <w:p w:rsidR="00FF50D1" w:rsidRDefault="00B31035" w:rsidP="00096615">
      <w:pPr>
        <w:spacing w:before="100" w:beforeAutospacing="1" w:after="100" w:afterAutospacing="1"/>
        <w:ind w:left="426"/>
        <w:jc w:val="both"/>
      </w:pPr>
      <w:r w:rsidRPr="004575B1">
        <w:t xml:space="preserve">The website will be updated regularly and it </w:t>
      </w:r>
      <w:r w:rsidR="004475DC" w:rsidRPr="004575B1">
        <w:t xml:space="preserve">is </w:t>
      </w:r>
      <w:r w:rsidR="00634909" w:rsidRPr="004575B1">
        <w:t>your</w:t>
      </w:r>
      <w:r w:rsidRPr="004575B1">
        <w:t xml:space="preserve"> responsibility to check for updates and modifications during the </w:t>
      </w:r>
      <w:r w:rsidR="004D57A6" w:rsidRPr="004575B1">
        <w:t xml:space="preserve">submission </w:t>
      </w:r>
      <w:r w:rsidRPr="004575B1">
        <w:t>period.</w:t>
      </w:r>
    </w:p>
    <w:p w:rsidR="00FF50D1" w:rsidRPr="00550593" w:rsidRDefault="00FF50D1" w:rsidP="00756A81">
      <w:pPr>
        <w:tabs>
          <w:tab w:val="left" w:pos="900"/>
        </w:tabs>
        <w:spacing w:before="100" w:beforeAutospacing="1" w:after="100" w:afterAutospacing="1"/>
        <w:jc w:val="both"/>
        <w:rPr>
          <w:u w:val="single"/>
        </w:rPr>
      </w:pPr>
      <w:r w:rsidRPr="00550593">
        <w:rPr>
          <w:u w:val="single"/>
        </w:rPr>
        <w:t>After the opening of tenders</w:t>
      </w:r>
      <w:r w:rsidR="00DF14CF">
        <w:rPr>
          <w:u w:val="single"/>
        </w:rPr>
        <w:t>:</w:t>
      </w:r>
    </w:p>
    <w:p w:rsidR="00FF50D1" w:rsidRDefault="00FF50D1" w:rsidP="00756A81">
      <w:pPr>
        <w:spacing w:before="100" w:beforeAutospacing="1" w:after="100" w:afterAutospacing="1"/>
        <w:ind w:left="426"/>
        <w:jc w:val="both"/>
      </w:pPr>
      <w:r w:rsidRPr="00550593">
        <w:t>If obvious clerical errors in the tender need to be corrected</w:t>
      </w:r>
      <w:r w:rsidR="00DF14CF">
        <w:t xml:space="preserve"> or confirmation of a specific or technical element is necessary</w:t>
      </w:r>
      <w:r w:rsidRPr="00550593">
        <w:t xml:space="preserve">, the contracting </w:t>
      </w:r>
      <w:r>
        <w:t xml:space="preserve">authority </w:t>
      </w:r>
      <w:r w:rsidR="004D57A6">
        <w:t>will</w:t>
      </w:r>
      <w:r w:rsidRPr="00550593">
        <w:t xml:space="preserve">contact the tenderer provided </w:t>
      </w:r>
      <w:r w:rsidR="00DF14CF">
        <w:t xml:space="preserve">this does not lead to </w:t>
      </w:r>
      <w:r w:rsidR="001A6381">
        <w:t xml:space="preserve">substantial changes to </w:t>
      </w:r>
      <w:r w:rsidRPr="00550593">
        <w:t xml:space="preserve">the terms of the </w:t>
      </w:r>
      <w:r w:rsidR="001A6381">
        <w:t xml:space="preserve">submitted </w:t>
      </w:r>
      <w:r w:rsidRPr="00550593">
        <w:t>tender.</w:t>
      </w:r>
    </w:p>
    <w:p w:rsidR="00FF50D1" w:rsidRPr="00B7605B" w:rsidRDefault="00FF50D1" w:rsidP="001C3AB6">
      <w:pPr>
        <w:pStyle w:val="Numbered"/>
        <w:spacing w:before="120" w:after="100" w:afterAutospacing="1"/>
        <w:ind w:left="425"/>
      </w:pPr>
      <w:r w:rsidRPr="00550593">
        <w:t xml:space="preserve">This invitation to tender is in no way binding on the </w:t>
      </w:r>
      <w:r w:rsidR="00C86BB6" w:rsidRPr="00550593">
        <w:t xml:space="preserve">contracting </w:t>
      </w:r>
      <w:r w:rsidR="00C86BB6">
        <w:t>authority</w:t>
      </w:r>
      <w:r w:rsidRPr="00550593">
        <w:t xml:space="preserve">.The </w:t>
      </w:r>
      <w:r w:rsidR="00C86BB6" w:rsidRPr="00550593">
        <w:t xml:space="preserve">contracting </w:t>
      </w:r>
      <w:r w:rsidR="00C86BB6">
        <w:t xml:space="preserve">authority's </w:t>
      </w:r>
      <w:r w:rsidRPr="00550593">
        <w:t>contractual obligation commences only upon signature of the contract with the successful tenderer.</w:t>
      </w:r>
    </w:p>
    <w:p w:rsidR="00FF50D1" w:rsidRDefault="00FF50D1" w:rsidP="001C3AB6">
      <w:pPr>
        <w:pStyle w:val="Numbered"/>
        <w:spacing w:before="120" w:after="100" w:afterAutospacing="1"/>
        <w:ind w:left="425"/>
      </w:pPr>
      <w:r w:rsidRPr="00550593">
        <w:t xml:space="preserve">Up to the point of signature, the contracting </w:t>
      </w:r>
      <w:r>
        <w:t xml:space="preserve">authority </w:t>
      </w:r>
      <w:r w:rsidRPr="00550593">
        <w:t xml:space="preserve">may cancel the </w:t>
      </w:r>
      <w:r>
        <w:t xml:space="preserve">award </w:t>
      </w:r>
      <w:r w:rsidRPr="00550593">
        <w:t>procedure without the candidates or tenderers being entitled to claim any compensation.This decision must be substantiated and the candidates or tenderers notified.</w:t>
      </w:r>
    </w:p>
    <w:p w:rsidR="000C329B" w:rsidRPr="00B7605B" w:rsidRDefault="000C329B" w:rsidP="001C3AB6">
      <w:pPr>
        <w:pStyle w:val="Numbered"/>
        <w:spacing w:before="120" w:after="100" w:afterAutospacing="1"/>
        <w:ind w:left="425"/>
      </w:pPr>
      <w:r w:rsidRPr="004E5D08">
        <w:t xml:space="preserve">Once the </w:t>
      </w:r>
      <w:r w:rsidR="00C86BB6" w:rsidRPr="00550593">
        <w:t xml:space="preserve">contracting </w:t>
      </w:r>
      <w:r w:rsidR="00C86BB6">
        <w:t xml:space="preserve">authority </w:t>
      </w:r>
      <w:r w:rsidRPr="004E5D08">
        <w:t xml:space="preserve">has </w:t>
      </w:r>
      <w:r w:rsidR="00151323">
        <w:t xml:space="preserve">opened </w:t>
      </w:r>
      <w:r w:rsidRPr="004E5D08">
        <w:t xml:space="preserve">the tender, </w:t>
      </w:r>
      <w:r w:rsidR="00C86BB6">
        <w:t>it</w:t>
      </w:r>
      <w:r w:rsidRPr="004E5D08">
        <w:t>become</w:t>
      </w:r>
      <w:r w:rsidR="00C86BB6">
        <w:t>sits</w:t>
      </w:r>
      <w:r w:rsidRPr="004E5D08">
        <w:t xml:space="preserve">property and </w:t>
      </w:r>
      <w:r w:rsidR="00151323">
        <w:t xml:space="preserve">it </w:t>
      </w:r>
      <w:r w:rsidRPr="004E5D08">
        <w:t xml:space="preserve">shall </w:t>
      </w:r>
      <w:r w:rsidR="00151323">
        <w:t xml:space="preserve">be </w:t>
      </w:r>
      <w:r w:rsidRPr="004E5D08">
        <w:t>treat</w:t>
      </w:r>
      <w:r w:rsidR="00151323">
        <w:t>ed</w:t>
      </w:r>
      <w:r w:rsidRPr="004E5D08">
        <w:t xml:space="preserve"> confidentially.</w:t>
      </w:r>
    </w:p>
    <w:p w:rsidR="00FF50D1" w:rsidRDefault="00FF50D1" w:rsidP="001C3AB6">
      <w:pPr>
        <w:pStyle w:val="Numbered"/>
        <w:spacing w:before="120" w:after="100" w:afterAutospacing="1"/>
        <w:ind w:left="425"/>
      </w:pPr>
      <w:r w:rsidRPr="00550593">
        <w:t xml:space="preserve">You will be informed </w:t>
      </w:r>
      <w:r w:rsidR="00FB789E">
        <w:t>of the outcome of this procurement procedure</w:t>
      </w:r>
      <w:r w:rsidR="00BC4F9D">
        <w:t xml:space="preserve"> by e-mail</w:t>
      </w:r>
      <w:r w:rsidR="001A6381">
        <w:t xml:space="preserve"> only</w:t>
      </w:r>
      <w:r w:rsidR="00FB789E">
        <w:t xml:space="preserve">. </w:t>
      </w:r>
      <w:r w:rsidR="00565B95">
        <w:t xml:space="preserve">It is your responsibility to </w:t>
      </w:r>
      <w:r w:rsidR="00BC4F9D">
        <w:t xml:space="preserve">provide a valid e-mail address </w:t>
      </w:r>
      <w:r w:rsidR="003477FB">
        <w:t xml:space="preserve">together with your contact details </w:t>
      </w:r>
      <w:r w:rsidR="00BC4F9D">
        <w:t>in your tender</w:t>
      </w:r>
      <w:r w:rsidR="00565B95">
        <w:t xml:space="preserve"> and to check </w:t>
      </w:r>
      <w:r w:rsidR="001A6381">
        <w:t xml:space="preserve">this e-mail address </w:t>
      </w:r>
      <w:r w:rsidR="00565B95">
        <w:t>regularly</w:t>
      </w:r>
      <w:r w:rsidR="00BC4F9D">
        <w:t xml:space="preserve">. </w:t>
      </w:r>
    </w:p>
    <w:p w:rsidR="005977DB" w:rsidRDefault="003911B6" w:rsidP="00A50E99">
      <w:pPr>
        <w:pStyle w:val="Numbered"/>
      </w:pPr>
      <w:r>
        <w:t>If p</w:t>
      </w:r>
      <w:r w:rsidR="00FF50D1" w:rsidRPr="006674F6">
        <w:t>rocessing your reply to the invitation to tender involve</w:t>
      </w:r>
      <w:r w:rsidR="0065342B">
        <w:t>s</w:t>
      </w:r>
      <w:r w:rsidR="00FF50D1" w:rsidRPr="006674F6">
        <w:t xml:space="preserve"> the recording and processing of personal data (such as your name, address and CV)</w:t>
      </w:r>
      <w:r>
        <w:t>, s</w:t>
      </w:r>
      <w:r w:rsidR="00FF50D1" w:rsidRPr="006674F6">
        <w:t xml:space="preserve">uch data will be processed pursuant to Regulation (EC) No 45/2001 on the protection of individuals with regard to the processing of personal data by the Community institutions and bodies and on the free movement of such data. Unless indicated otherwise, your replies to the questions and any personal data requested are required to evaluate your tender in accordance with the specifications of the invitation to tender and will be processed solely for that purpose by </w:t>
      </w:r>
      <w:r w:rsidR="00096615" w:rsidRPr="00096615">
        <w:t xml:space="preserve">the </w:t>
      </w:r>
      <w:r w:rsidR="00B33103" w:rsidRPr="00096615">
        <w:rPr>
          <w:iCs/>
        </w:rPr>
        <w:t xml:space="preserve">Head of EU Delegation to </w:t>
      </w:r>
      <w:r w:rsidR="005977DB" w:rsidRPr="00096615">
        <w:rPr>
          <w:iCs/>
        </w:rPr>
        <w:t>Ukraine</w:t>
      </w:r>
      <w:r w:rsidR="00FF50D1" w:rsidRPr="00096615">
        <w:t>.</w:t>
      </w:r>
      <w:r w:rsidR="00FF50D1" w:rsidRPr="006674F6">
        <w:t xml:space="preserve"> </w:t>
      </w:r>
      <w:r w:rsidR="0065342B">
        <w:t xml:space="preserve">Details </w:t>
      </w:r>
      <w:r w:rsidR="00FF50D1" w:rsidRPr="006674F6">
        <w:t xml:space="preserve">concerning </w:t>
      </w:r>
      <w:r w:rsidR="00E87174">
        <w:t xml:space="preserve">the </w:t>
      </w:r>
      <w:r w:rsidR="00FF50D1" w:rsidRPr="006674F6">
        <w:t>processing of your personal data</w:t>
      </w:r>
      <w:r w:rsidR="0065342B">
        <w:t xml:space="preserve"> are available on the privacy statement at</w:t>
      </w:r>
      <w:r w:rsidR="00E87174">
        <w:t>:</w:t>
      </w:r>
      <w:r w:rsidR="00AF092A">
        <w:t xml:space="preserve"> </w:t>
      </w:r>
      <w:hyperlink r:id="rId14" w:history="1">
        <w:r w:rsidR="00A50E99" w:rsidRPr="00474B73">
          <w:rPr>
            <w:rStyle w:val="Hyperlink"/>
          </w:rPr>
          <w:t>http://eeas.europa.eu/delegations/ukraine/</w:t>
        </w:r>
      </w:hyperlink>
    </w:p>
    <w:p w:rsidR="00A50E99" w:rsidRDefault="00A50E99" w:rsidP="00A50E99">
      <w:pPr>
        <w:pStyle w:val="Numbered"/>
        <w:numPr>
          <w:ilvl w:val="0"/>
          <w:numId w:val="0"/>
        </w:numPr>
        <w:ind w:left="426"/>
      </w:pPr>
    </w:p>
    <w:p w:rsidR="00096615" w:rsidRDefault="00096615" w:rsidP="001C3AB6">
      <w:pPr>
        <w:pStyle w:val="Numbered"/>
        <w:numPr>
          <w:ilvl w:val="0"/>
          <w:numId w:val="0"/>
        </w:numPr>
        <w:spacing w:before="120"/>
        <w:ind w:left="425"/>
      </w:pPr>
    </w:p>
    <w:p w:rsidR="00C16F0C" w:rsidRPr="00B6302D" w:rsidRDefault="00C16F0C" w:rsidP="001C3AB6">
      <w:pPr>
        <w:pStyle w:val="Numbered"/>
        <w:spacing w:before="120"/>
        <w:ind w:left="425"/>
      </w:pPr>
      <w:r w:rsidRPr="00B6302D">
        <w:t xml:space="preserve">Your personal data may be registered in the </w:t>
      </w:r>
      <w:r w:rsidR="001A6381" w:rsidRPr="00B6302D">
        <w:t xml:space="preserve">Early Detection and Exclusion System (EDES) </w:t>
      </w:r>
      <w:r w:rsidR="00A235F0" w:rsidRPr="00B6302D">
        <w:t>if</w:t>
      </w:r>
      <w:r w:rsidR="00151323" w:rsidRPr="00B6302D">
        <w:t xml:space="preserve"> you </w:t>
      </w:r>
      <w:r w:rsidR="00A235F0" w:rsidRPr="00B6302D">
        <w:t xml:space="preserve">are </w:t>
      </w:r>
      <w:r w:rsidR="00151323" w:rsidRPr="00B6302D">
        <w:t>in one of the situations mentioned in</w:t>
      </w:r>
      <w:r w:rsidR="008B03A1" w:rsidRPr="00B6302D">
        <w:t xml:space="preserve"> Article 106 of the Financial Regulation. F</w:t>
      </w:r>
      <w:r w:rsidR="00151323" w:rsidRPr="00B6302D">
        <w:t>or more information</w:t>
      </w:r>
      <w:r w:rsidR="008B03A1" w:rsidRPr="00B6302D">
        <w:t>,</w:t>
      </w:r>
      <w:r w:rsidR="00151323" w:rsidRPr="00B6302D">
        <w:t xml:space="preserve"> see the Privacy Statement on </w:t>
      </w:r>
      <w:hyperlink r:id="rId15" w:anchor="BDCE" w:history="1">
        <w:r w:rsidR="00FE506C" w:rsidRPr="005977DB">
          <w:rPr>
            <w:rStyle w:val="Hyperlink"/>
            <w:sz w:val="22"/>
            <w:szCs w:val="22"/>
          </w:rPr>
          <w:t>http://ec.europa.eu/budget/explained/management/protecting/protect_en.cfm#BDCE</w:t>
        </w:r>
      </w:hyperlink>
      <w:r w:rsidR="00FE506C" w:rsidRPr="005977DB">
        <w:rPr>
          <w:sz w:val="22"/>
          <w:szCs w:val="22"/>
        </w:rPr>
        <w:t xml:space="preserve"> )</w:t>
      </w:r>
    </w:p>
    <w:p w:rsidR="001C3AB6" w:rsidRDefault="001C3AB6" w:rsidP="001C3AB6">
      <w:pPr>
        <w:pStyle w:val="Numbered"/>
        <w:autoSpaceDE w:val="0"/>
        <w:autoSpaceDN w:val="0"/>
        <w:adjustRightInd w:val="0"/>
        <w:spacing w:before="120" w:after="240"/>
        <w:ind w:left="425"/>
      </w:pPr>
      <w:r>
        <w:t>Y</w:t>
      </w:r>
      <w:r w:rsidRPr="00CF3DA4">
        <w:t xml:space="preserve">ou may submit any observations concerning the </w:t>
      </w:r>
      <w:r>
        <w:t>procurement</w:t>
      </w:r>
      <w:r w:rsidRPr="00CF3DA4">
        <w:t xml:space="preserve"> procedure to the contracting authority </w:t>
      </w:r>
      <w:r>
        <w:t>using the contact means under point 9</w:t>
      </w:r>
      <w:r w:rsidRPr="00CF3DA4">
        <w:t>.</w:t>
      </w:r>
      <w:r>
        <w:t xml:space="preserve"> If you believe that there was maladministration,</w:t>
      </w:r>
      <w:r w:rsidRPr="002E38BC">
        <w:t xml:space="preserve"> </w:t>
      </w:r>
      <w:r>
        <w:t>y</w:t>
      </w:r>
      <w:r w:rsidRPr="002E38BC">
        <w:t xml:space="preserve">ou may lodge a complaint to the European Ombudsman within two years of the date when you became aware of the facts on which the complaint is based </w:t>
      </w:r>
      <w:r>
        <w:t>(see</w:t>
      </w:r>
      <w:r w:rsidRPr="00B26DC1">
        <w:t xml:space="preserve"> </w:t>
      </w:r>
      <w:hyperlink r:id="rId16" w:history="1">
        <w:r w:rsidRPr="00006BBC">
          <w:t>http://www.ombudsman.europa.eu</w:t>
        </w:r>
      </w:hyperlink>
      <w:r>
        <w:t>)</w:t>
      </w:r>
      <w:r w:rsidRPr="00B26DC1">
        <w:t>.</w:t>
      </w:r>
      <w:r>
        <w:tab/>
        <w:t xml:space="preserve"> </w:t>
      </w:r>
    </w:p>
    <w:p w:rsidR="001C3AB6" w:rsidRDefault="001C3AB6" w:rsidP="001C3AB6">
      <w:pPr>
        <w:pStyle w:val="Numbered"/>
        <w:autoSpaceDE w:val="0"/>
        <w:autoSpaceDN w:val="0"/>
        <w:adjustRightInd w:val="0"/>
        <w:spacing w:before="120" w:after="240"/>
        <w:ind w:left="425"/>
      </w:pPr>
      <w:r>
        <w:t xml:space="preserve">Within two months of notice of the award decision, you may launch an action for annulment of </w:t>
      </w:r>
      <w:r w:rsidRPr="00D03B1A">
        <w:t xml:space="preserve">the </w:t>
      </w:r>
      <w:r>
        <w:t xml:space="preserve">award </w:t>
      </w:r>
      <w:r w:rsidRPr="00D03B1A">
        <w:t>decision</w:t>
      </w:r>
      <w:r>
        <w:t>.</w:t>
      </w:r>
      <w:r w:rsidRPr="00420715">
        <w:t xml:space="preserve"> </w:t>
      </w:r>
      <w:r w:rsidRPr="00D03B1A">
        <w:t>Any request you may make and any reply from us</w:t>
      </w:r>
      <w:r>
        <w:t>, or any complaint for maladministration,</w:t>
      </w:r>
      <w:r w:rsidRPr="00D03B1A">
        <w:t xml:space="preserve"> will have neither the purpose nor the effect of suspending the </w:t>
      </w:r>
      <w:r>
        <w:t>time-limit</w:t>
      </w:r>
      <w:r w:rsidRPr="00D03B1A">
        <w:t xml:space="preserve"> for </w:t>
      </w:r>
      <w:r>
        <w:t xml:space="preserve">launching an action for annulment </w:t>
      </w:r>
      <w:r w:rsidRPr="00CF3DA4">
        <w:t xml:space="preserve">or to open a new period for </w:t>
      </w:r>
      <w:r>
        <w:t>launching an action for annulment</w:t>
      </w:r>
      <w:r w:rsidRPr="00CF3DA4">
        <w:t>.</w:t>
      </w:r>
      <w:r>
        <w:t xml:space="preserve"> </w:t>
      </w:r>
      <w:r w:rsidRPr="00D03B1A">
        <w:t xml:space="preserve">The </w:t>
      </w:r>
      <w:r>
        <w:t xml:space="preserve">body </w:t>
      </w:r>
      <w:r w:rsidRPr="00D03B1A">
        <w:t xml:space="preserve">responsible for hearing </w:t>
      </w:r>
      <w:r>
        <w:t xml:space="preserve">annulment </w:t>
      </w:r>
      <w:r w:rsidRPr="00D03B1A">
        <w:t xml:space="preserve">procedures </w:t>
      </w:r>
      <w:r>
        <w:t>is indicated in Section VI.4.1 of the contract notice.</w:t>
      </w:r>
      <w:r w:rsidRPr="00D03B1A">
        <w:t xml:space="preserve"> </w:t>
      </w:r>
    </w:p>
    <w:p w:rsidR="00F44169" w:rsidRDefault="00F44169" w:rsidP="0031382F">
      <w:pPr>
        <w:spacing w:before="100" w:beforeAutospacing="1" w:after="100" w:afterAutospacing="1"/>
        <w:jc w:val="both"/>
      </w:pPr>
    </w:p>
    <w:p w:rsidR="002C2F53" w:rsidRDefault="00A5355F" w:rsidP="002C2F53">
      <w:r>
        <w:t xml:space="preserve"> </w:t>
      </w:r>
      <w:r w:rsidR="002C2F53">
        <w:tab/>
      </w:r>
      <w:r w:rsidR="002C2F53">
        <w:tab/>
      </w:r>
      <w:r w:rsidR="002C2F53">
        <w:tab/>
      </w:r>
      <w:r w:rsidR="002C2F53">
        <w:tab/>
      </w:r>
      <w:r w:rsidR="002C2F53">
        <w:tab/>
      </w:r>
      <w:r w:rsidR="002C2F53">
        <w:tab/>
      </w:r>
    </w:p>
    <w:p w:rsidR="002C2F53" w:rsidRDefault="002C2F53" w:rsidP="002C2F53"/>
    <w:p w:rsidR="002C2F53" w:rsidRDefault="002C2F53" w:rsidP="002C2F53">
      <w:r>
        <w:tab/>
      </w:r>
      <w:r>
        <w:tab/>
      </w:r>
      <w:r>
        <w:tab/>
      </w:r>
      <w:r>
        <w:tab/>
      </w:r>
      <w:r>
        <w:tab/>
      </w:r>
      <w:r>
        <w:tab/>
        <w:t>Jan Tombinski</w:t>
      </w:r>
    </w:p>
    <w:p w:rsidR="002C2F53" w:rsidRDefault="002C2F53" w:rsidP="002C2F53"/>
    <w:p w:rsidR="002C2F53" w:rsidRDefault="002C2F53" w:rsidP="002C2F53">
      <w:r>
        <w:tab/>
      </w:r>
      <w:r>
        <w:tab/>
      </w:r>
      <w:r>
        <w:tab/>
      </w:r>
      <w:r>
        <w:tab/>
      </w:r>
      <w:r>
        <w:tab/>
      </w:r>
      <w:r>
        <w:tab/>
        <w:t>Head of Delegation</w:t>
      </w:r>
    </w:p>
    <w:p w:rsidR="005E0023" w:rsidRDefault="005E0023" w:rsidP="0031382F">
      <w:pPr>
        <w:spacing w:before="100" w:beforeAutospacing="1" w:after="100" w:afterAutospacing="1"/>
        <w:jc w:val="both"/>
      </w:pPr>
    </w:p>
    <w:p w:rsidR="00711D42" w:rsidRDefault="002C2F53" w:rsidP="00711D42">
      <w:pPr>
        <w:pStyle w:val="Enclosures"/>
      </w:pPr>
      <w:r>
        <w:t>A</w:t>
      </w:r>
      <w:r w:rsidR="00711D42">
        <w:t xml:space="preserve">nnexes: </w:t>
      </w:r>
      <w:r w:rsidR="00711D42">
        <w:tab/>
      </w:r>
      <w:r w:rsidR="00711D42" w:rsidRPr="00AF092A">
        <w:t>Tender specifications</w:t>
      </w:r>
      <w:r w:rsidR="00711D42" w:rsidRPr="00AF092A">
        <w:br/>
        <w:t xml:space="preserve">Draft </w:t>
      </w:r>
      <w:r w:rsidR="00C33805" w:rsidRPr="00AF092A">
        <w:t xml:space="preserve">direct </w:t>
      </w:r>
      <w:r w:rsidR="00711D42" w:rsidRPr="00AF092A">
        <w:t>contract</w:t>
      </w:r>
      <w:r w:rsidR="00711D42">
        <w:br/>
      </w:r>
    </w:p>
    <w:p w:rsidR="00A77626" w:rsidRPr="00B6302D" w:rsidRDefault="00A77626" w:rsidP="00711D42">
      <w:pPr>
        <w:spacing w:before="100" w:beforeAutospacing="1" w:after="100" w:afterAutospacing="1"/>
        <w:jc w:val="both"/>
        <w:rPr>
          <w:b/>
          <w:i/>
          <w:iCs/>
          <w:color w:val="0070C0"/>
        </w:rPr>
      </w:pPr>
    </w:p>
    <w:sectPr w:rsidR="00A77626" w:rsidRPr="00B6302D" w:rsidSect="00B6302D">
      <w:footerReference w:type="even" r:id="rId17"/>
      <w:footerReference w:type="default" r:id="rId18"/>
      <w:headerReference w:type="first" r:id="rId19"/>
      <w:footerReference w:type="first" r:id="rId20"/>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41A" w:rsidRDefault="0027241A">
      <w:r>
        <w:separator/>
      </w:r>
    </w:p>
  </w:endnote>
  <w:endnote w:type="continuationSeparator" w:id="0">
    <w:p w:rsidR="0027241A" w:rsidRDefault="0027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6D" w:rsidRDefault="00447A22" w:rsidP="00D52188">
    <w:pPr>
      <w:pStyle w:val="Footer"/>
      <w:framePr w:wrap="around" w:vAnchor="text" w:hAnchor="margin" w:xAlign="center" w:y="1"/>
      <w:rPr>
        <w:rStyle w:val="PageNumber"/>
      </w:rPr>
    </w:pPr>
    <w:r>
      <w:rPr>
        <w:rStyle w:val="PageNumber"/>
      </w:rPr>
      <w:fldChar w:fldCharType="begin"/>
    </w:r>
    <w:r w:rsidR="003E286D">
      <w:rPr>
        <w:rStyle w:val="PageNumber"/>
      </w:rPr>
      <w:instrText xml:space="preserve">PAGE  </w:instrText>
    </w:r>
    <w:r>
      <w:rPr>
        <w:rStyle w:val="PageNumber"/>
      </w:rPr>
      <w:fldChar w:fldCharType="end"/>
    </w:r>
  </w:p>
  <w:p w:rsidR="003E286D" w:rsidRDefault="003E2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6D" w:rsidRPr="00D52188" w:rsidRDefault="00447A22" w:rsidP="00D52188">
    <w:pPr>
      <w:pStyle w:val="Footer"/>
      <w:framePr w:wrap="around" w:vAnchor="text" w:hAnchor="margin" w:xAlign="center" w:y="1"/>
      <w:rPr>
        <w:rStyle w:val="PageNumber"/>
        <w:rFonts w:ascii="Arial" w:hAnsi="Arial" w:cs="Arial"/>
        <w:sz w:val="16"/>
        <w:szCs w:val="16"/>
      </w:rPr>
    </w:pPr>
    <w:r w:rsidRPr="00D52188">
      <w:rPr>
        <w:rStyle w:val="PageNumber"/>
        <w:rFonts w:ascii="Arial" w:hAnsi="Arial" w:cs="Arial"/>
        <w:sz w:val="16"/>
        <w:szCs w:val="16"/>
      </w:rPr>
      <w:fldChar w:fldCharType="begin"/>
    </w:r>
    <w:r w:rsidR="003E286D" w:rsidRPr="00D52188">
      <w:rPr>
        <w:rStyle w:val="PageNumber"/>
        <w:rFonts w:ascii="Arial" w:hAnsi="Arial" w:cs="Arial"/>
        <w:sz w:val="16"/>
        <w:szCs w:val="16"/>
      </w:rPr>
      <w:instrText xml:space="preserve">PAGE  </w:instrText>
    </w:r>
    <w:r w:rsidRPr="00D52188">
      <w:rPr>
        <w:rStyle w:val="PageNumber"/>
        <w:rFonts w:ascii="Arial" w:hAnsi="Arial" w:cs="Arial"/>
        <w:sz w:val="16"/>
        <w:szCs w:val="16"/>
      </w:rPr>
      <w:fldChar w:fldCharType="separate"/>
    </w:r>
    <w:r w:rsidR="00D71CA1">
      <w:rPr>
        <w:rStyle w:val="PageNumber"/>
        <w:rFonts w:ascii="Arial" w:hAnsi="Arial" w:cs="Arial"/>
        <w:noProof/>
        <w:sz w:val="16"/>
        <w:szCs w:val="16"/>
      </w:rPr>
      <w:t>4</w:t>
    </w:r>
    <w:r w:rsidRPr="00D52188">
      <w:rPr>
        <w:rStyle w:val="PageNumber"/>
        <w:rFonts w:ascii="Arial" w:hAnsi="Arial" w:cs="Arial"/>
        <w:sz w:val="16"/>
        <w:szCs w:val="16"/>
      </w:rPr>
      <w:fldChar w:fldCharType="end"/>
    </w:r>
  </w:p>
  <w:p w:rsidR="002C2F53" w:rsidRPr="002C2F53" w:rsidRDefault="002C2F53" w:rsidP="002C2F53">
    <w:pPr>
      <w:tabs>
        <w:tab w:val="center" w:pos="4677"/>
        <w:tab w:val="right" w:pos="9355"/>
      </w:tabs>
      <w:rPr>
        <w:rFonts w:ascii="Calibri" w:eastAsia="Calibri" w:hAnsi="Calibri"/>
        <w:sz w:val="20"/>
        <w:szCs w:val="20"/>
        <w:lang w:val="uk-UA" w:eastAsia="en-US"/>
      </w:rPr>
    </w:pPr>
    <w:r w:rsidRPr="002C2F53">
      <w:rPr>
        <w:rFonts w:ascii="Calibri" w:eastAsia="Calibri" w:hAnsi="Calibri"/>
        <w:sz w:val="20"/>
        <w:szCs w:val="20"/>
        <w:lang w:val="en-US" w:eastAsia="en-US"/>
      </w:rPr>
      <w:t xml:space="preserve">Delegation of the European Union to Ukraine, 101 Volodymyrska </w:t>
    </w:r>
    <w:proofErr w:type="spellStart"/>
    <w:r w:rsidRPr="002C2F53">
      <w:rPr>
        <w:rFonts w:ascii="Calibri" w:eastAsia="Calibri" w:hAnsi="Calibri"/>
        <w:sz w:val="20"/>
        <w:szCs w:val="20"/>
        <w:lang w:val="en-US" w:eastAsia="en-US"/>
      </w:rPr>
      <w:t>Str</w:t>
    </w:r>
    <w:proofErr w:type="spellEnd"/>
    <w:r w:rsidRPr="002C2F53">
      <w:rPr>
        <w:rFonts w:ascii="Calibri" w:eastAsia="Calibri" w:hAnsi="Calibri"/>
        <w:sz w:val="20"/>
        <w:szCs w:val="20"/>
        <w:lang w:val="en-US" w:eastAsia="en-US"/>
      </w:rPr>
      <w:t>, Kyiv, Ukraine 01033, tel.: +380 44 390 80 10</w:t>
    </w:r>
  </w:p>
  <w:p w:rsidR="003E286D" w:rsidRPr="002C2F53" w:rsidRDefault="003E286D" w:rsidP="0031382F">
    <w:pPr>
      <w:pStyle w:val="Footer"/>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53" w:rsidRPr="002C2F53" w:rsidRDefault="002C2F53" w:rsidP="002C2F53">
    <w:pPr>
      <w:tabs>
        <w:tab w:val="center" w:pos="4677"/>
        <w:tab w:val="right" w:pos="9355"/>
      </w:tabs>
      <w:rPr>
        <w:rFonts w:ascii="Calibri" w:eastAsia="Calibri" w:hAnsi="Calibri"/>
        <w:sz w:val="20"/>
        <w:szCs w:val="20"/>
        <w:lang w:val="uk-UA" w:eastAsia="en-US"/>
      </w:rPr>
    </w:pPr>
    <w:r w:rsidRPr="002C2F53">
      <w:rPr>
        <w:rFonts w:ascii="Calibri" w:eastAsia="Calibri" w:hAnsi="Calibri"/>
        <w:sz w:val="20"/>
        <w:szCs w:val="20"/>
        <w:lang w:val="en-US" w:eastAsia="en-US"/>
      </w:rPr>
      <w:t xml:space="preserve">Delegation of the European Union to Ukraine, 101 Volodymyrska </w:t>
    </w:r>
    <w:proofErr w:type="spellStart"/>
    <w:r w:rsidRPr="002C2F53">
      <w:rPr>
        <w:rFonts w:ascii="Calibri" w:eastAsia="Calibri" w:hAnsi="Calibri"/>
        <w:sz w:val="20"/>
        <w:szCs w:val="20"/>
        <w:lang w:val="en-US" w:eastAsia="en-US"/>
      </w:rPr>
      <w:t>Str</w:t>
    </w:r>
    <w:proofErr w:type="spellEnd"/>
    <w:r w:rsidRPr="002C2F53">
      <w:rPr>
        <w:rFonts w:ascii="Calibri" w:eastAsia="Calibri" w:hAnsi="Calibri"/>
        <w:sz w:val="20"/>
        <w:szCs w:val="20"/>
        <w:lang w:val="en-US" w:eastAsia="en-US"/>
      </w:rPr>
      <w:t>, Kyiv, Ukraine 01033, tel.: +380 44 390 80 10</w:t>
    </w:r>
  </w:p>
  <w:p w:rsidR="002C2F53" w:rsidRPr="002C2F53" w:rsidRDefault="002C2F53">
    <w:pPr>
      <w:pStyle w:val="Footer"/>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41A" w:rsidRDefault="0027241A">
      <w:r>
        <w:separator/>
      </w:r>
    </w:p>
  </w:footnote>
  <w:footnote w:type="continuationSeparator" w:id="0">
    <w:p w:rsidR="0027241A" w:rsidRDefault="00272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3D" w:rsidRPr="00B6302D" w:rsidRDefault="00704A3D" w:rsidP="00235738">
    <w:pPr>
      <w:jc w:val="right"/>
      <w:outlineLvl w:val="0"/>
      <w:rPr>
        <w:sz w:val="22"/>
      </w:rPr>
    </w:pPr>
  </w:p>
  <w:tbl>
    <w:tblPr>
      <w:tblW w:w="9469" w:type="dxa"/>
      <w:tblInd w:w="8" w:type="dxa"/>
      <w:tblLayout w:type="fixed"/>
      <w:tblCellMar>
        <w:left w:w="0" w:type="dxa"/>
        <w:right w:w="0" w:type="dxa"/>
      </w:tblCellMar>
      <w:tblLook w:val="0000" w:firstRow="0" w:lastRow="0" w:firstColumn="0" w:lastColumn="0" w:noHBand="0" w:noVBand="0"/>
    </w:tblPr>
    <w:tblGrid>
      <w:gridCol w:w="1814"/>
      <w:gridCol w:w="7655"/>
    </w:tblGrid>
    <w:tr w:rsidR="002C2F53" w:rsidRPr="002C2F53" w:rsidTr="00295B9E">
      <w:trPr>
        <w:trHeight w:hRule="exact" w:val="1440"/>
      </w:trPr>
      <w:tc>
        <w:tcPr>
          <w:tcW w:w="1814" w:type="dxa"/>
        </w:tcPr>
        <w:p w:rsidR="002C2F53" w:rsidRPr="002C2F53" w:rsidRDefault="002C2F53" w:rsidP="002C2F53">
          <w:pPr>
            <w:rPr>
              <w:rFonts w:ascii="Calibri" w:eastAsia="Calibri" w:hAnsi="Calibri"/>
              <w:sz w:val="22"/>
              <w:szCs w:val="22"/>
              <w:lang w:val="en-US" w:eastAsia="en-US"/>
            </w:rPr>
          </w:pPr>
          <w:r>
            <w:rPr>
              <w:rFonts w:ascii="Calibri" w:eastAsia="Calibri" w:hAnsi="Calibri"/>
              <w:noProof/>
              <w:sz w:val="20"/>
              <w:szCs w:val="22"/>
            </w:rPr>
            <w:drawing>
              <wp:inline distT="0" distB="0" distL="0" distR="0">
                <wp:extent cx="1009650"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73100"/>
                        </a:xfrm>
                        <a:prstGeom prst="rect">
                          <a:avLst/>
                        </a:prstGeom>
                        <a:noFill/>
                        <a:ln>
                          <a:noFill/>
                        </a:ln>
                      </pic:spPr>
                    </pic:pic>
                  </a:graphicData>
                </a:graphic>
              </wp:inline>
            </w:drawing>
          </w:r>
        </w:p>
      </w:tc>
      <w:tc>
        <w:tcPr>
          <w:tcW w:w="7655" w:type="dxa"/>
        </w:tcPr>
        <w:p w:rsidR="002C2F53" w:rsidRPr="002C2F53" w:rsidRDefault="002C2F53" w:rsidP="002C2F53">
          <w:pPr>
            <w:ind w:right="85"/>
            <w:jc w:val="both"/>
            <w:rPr>
              <w:rFonts w:ascii="Arial" w:hAnsi="Arial"/>
              <w:b/>
              <w:snapToGrid w:val="0"/>
              <w:sz w:val="16"/>
              <w:szCs w:val="20"/>
              <w:lang w:eastAsia="en-US"/>
            </w:rPr>
          </w:pPr>
          <w:r w:rsidRPr="002C2F53">
            <w:rPr>
              <w:rFonts w:ascii="Arial" w:hAnsi="Arial"/>
              <w:b/>
              <w:snapToGrid w:val="0"/>
              <w:lang w:eastAsia="en-US"/>
            </w:rPr>
            <w:t>EUROPEAN UNION</w:t>
          </w:r>
        </w:p>
        <w:p w:rsidR="002C2F53" w:rsidRPr="002C2F53" w:rsidRDefault="002C2F53" w:rsidP="002C2F53">
          <w:pPr>
            <w:ind w:right="85"/>
            <w:jc w:val="both"/>
            <w:rPr>
              <w:rFonts w:ascii="Arial" w:hAnsi="Arial"/>
              <w:snapToGrid w:val="0"/>
              <w:sz w:val="16"/>
              <w:lang w:eastAsia="en-US"/>
            </w:rPr>
          </w:pPr>
        </w:p>
        <w:p w:rsidR="002C2F53" w:rsidRPr="002C2F53" w:rsidRDefault="002C2F53" w:rsidP="002C2F53">
          <w:pPr>
            <w:ind w:right="85"/>
            <w:jc w:val="both"/>
            <w:rPr>
              <w:rFonts w:ascii="Arial" w:hAnsi="Arial"/>
              <w:snapToGrid w:val="0"/>
              <w:sz w:val="16"/>
              <w:lang w:eastAsia="en-US"/>
            </w:rPr>
          </w:pPr>
          <w:r w:rsidRPr="002C2F53">
            <w:rPr>
              <w:rFonts w:ascii="Arial" w:hAnsi="Arial"/>
              <w:snapToGrid w:val="0"/>
              <w:sz w:val="16"/>
              <w:lang w:eastAsia="en-US"/>
            </w:rPr>
            <w:t>DELEGATION TO UKRAINE</w:t>
          </w:r>
        </w:p>
        <w:p w:rsidR="002C2F53" w:rsidRPr="002C2F53" w:rsidRDefault="002C2F53" w:rsidP="002C2F53">
          <w:pPr>
            <w:ind w:right="85"/>
            <w:jc w:val="both"/>
            <w:rPr>
              <w:rFonts w:ascii="Arial" w:hAnsi="Arial"/>
              <w:snapToGrid w:val="0"/>
              <w:sz w:val="16"/>
              <w:lang w:eastAsia="en-US"/>
            </w:rPr>
          </w:pPr>
        </w:p>
        <w:p w:rsidR="002C2F53" w:rsidRPr="002C2F53" w:rsidRDefault="002C2F53" w:rsidP="002C2F53">
          <w:pPr>
            <w:ind w:right="85"/>
            <w:jc w:val="both"/>
            <w:rPr>
              <w:rFonts w:ascii="Arial" w:hAnsi="Arial"/>
              <w:b/>
              <w:bCs/>
              <w:snapToGrid w:val="0"/>
              <w:sz w:val="16"/>
              <w:lang w:eastAsia="en-US"/>
            </w:rPr>
          </w:pPr>
        </w:p>
        <w:p w:rsidR="002C2F53" w:rsidRPr="002C2F53" w:rsidRDefault="002C2F53" w:rsidP="002C2F53">
          <w:pPr>
            <w:widowControl w:val="0"/>
            <w:ind w:right="85"/>
            <w:jc w:val="both"/>
            <w:rPr>
              <w:rFonts w:ascii="Calibri" w:eastAsia="Calibri" w:hAnsi="Calibri"/>
              <w:sz w:val="22"/>
              <w:szCs w:val="22"/>
              <w:lang w:val="en-US" w:eastAsia="en-US"/>
            </w:rPr>
          </w:pPr>
          <w:r w:rsidRPr="002C2F53">
            <w:rPr>
              <w:rFonts w:ascii="Arial" w:hAnsi="Arial"/>
              <w:bCs/>
              <w:snapToGrid w:val="0"/>
              <w:sz w:val="16"/>
              <w:szCs w:val="20"/>
              <w:lang w:eastAsia="en-US"/>
            </w:rPr>
            <w:t>Ambassador, Head of Delegation</w:t>
          </w:r>
        </w:p>
      </w:tc>
    </w:tr>
  </w:tbl>
  <w:p w:rsidR="00704A3D" w:rsidRPr="002C2F53" w:rsidRDefault="00704A3D" w:rsidP="002C2F5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C60"/>
    <w:multiLevelType w:val="multilevel"/>
    <w:tmpl w:val="4CA24CE6"/>
    <w:numStyleLink w:val="StyleNumbered"/>
  </w:abstractNum>
  <w:abstractNum w:abstractNumId="1">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C6B29"/>
    <w:multiLevelType w:val="hybridMultilevel"/>
    <w:tmpl w:val="892A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0366E"/>
    <w:multiLevelType w:val="multilevel"/>
    <w:tmpl w:val="4CA24CE6"/>
    <w:styleLink w:val="StyleNumbered"/>
    <w:lvl w:ilvl="0">
      <w:start w:val="1"/>
      <w:numFmt w:val="decimal"/>
      <w:lvlText w:val="%1."/>
      <w:lvlJc w:val="left"/>
      <w:pPr>
        <w:ind w:left="720" w:hanging="360"/>
      </w:pPr>
      <w:rPr>
        <w:rFonts w:ascii="Times New Roman" w:hAnsi="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07D32E0"/>
    <w:multiLevelType w:val="multilevel"/>
    <w:tmpl w:val="4CA24CE6"/>
    <w:numStyleLink w:val="StyleNumbered"/>
  </w:abstractNum>
  <w:abstractNum w:abstractNumId="5">
    <w:nsid w:val="123A5FAB"/>
    <w:multiLevelType w:val="hybridMultilevel"/>
    <w:tmpl w:val="BB2E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984757"/>
    <w:multiLevelType w:val="hybridMultilevel"/>
    <w:tmpl w:val="4314EC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210D09"/>
    <w:multiLevelType w:val="hybridMultilevel"/>
    <w:tmpl w:val="85AC8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193E19"/>
    <w:multiLevelType w:val="hybridMultilevel"/>
    <w:tmpl w:val="1CAA0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432656"/>
    <w:multiLevelType w:val="multilevel"/>
    <w:tmpl w:val="F008FDB6"/>
    <w:lvl w:ilvl="0">
      <w:start w:val="1"/>
      <w:numFmt w:val="decimal"/>
      <w:pStyle w:val="Heading1"/>
      <w:lvlText w:val="%1."/>
      <w:lvlJc w:val="left"/>
      <w:pPr>
        <w:tabs>
          <w:tab w:val="num" w:pos="764"/>
        </w:tabs>
        <w:ind w:left="764" w:hanging="480"/>
      </w:pPr>
      <w:rPr>
        <w:b w:val="0"/>
      </w:r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FA3FD4"/>
    <w:multiLevelType w:val="multilevel"/>
    <w:tmpl w:val="4CA24CE6"/>
    <w:numStyleLink w:val="StyleNumbered"/>
  </w:abstractNum>
  <w:abstractNum w:abstractNumId="11">
    <w:nsid w:val="666E57F8"/>
    <w:multiLevelType w:val="multilevel"/>
    <w:tmpl w:val="4CA24CE6"/>
    <w:numStyleLink w:val="StyleNumbered"/>
  </w:abstractNum>
  <w:abstractNum w:abstractNumId="12">
    <w:nsid w:val="719C3301"/>
    <w:multiLevelType w:val="hybridMultilevel"/>
    <w:tmpl w:val="C270D4BA"/>
    <w:lvl w:ilvl="0" w:tplc="09E4D162">
      <w:start w:val="1"/>
      <w:numFmt w:val="decimal"/>
      <w:lvlText w:val="%1."/>
      <w:lvlJc w:val="left"/>
      <w:pPr>
        <w:ind w:left="720" w:hanging="360"/>
      </w:pPr>
      <w:rPr>
        <w:rFonts w:hint="default"/>
        <w:b w:val="0"/>
        <w:i w:val="0"/>
        <w:caps w:val="0"/>
        <w:strike w:val="0"/>
        <w:dstrike w:val="0"/>
        <w:vanish w:val="0"/>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AA0064"/>
    <w:multiLevelType w:val="hybridMultilevel"/>
    <w:tmpl w:val="69AEC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E93681"/>
    <w:multiLevelType w:val="hybridMultilevel"/>
    <w:tmpl w:val="3F38D5B6"/>
    <w:lvl w:ilvl="0" w:tplc="09E4D162">
      <w:start w:val="1"/>
      <w:numFmt w:val="decimal"/>
      <w:lvlText w:val="%1."/>
      <w:lvlJc w:val="left"/>
      <w:pPr>
        <w:ind w:left="720" w:hanging="360"/>
      </w:pPr>
      <w:rPr>
        <w:rFonts w:hint="default"/>
        <w:b w:val="0"/>
        <w:i w:val="0"/>
        <w:caps w:val="0"/>
        <w:strike w:val="0"/>
        <w:dstrike w:val="0"/>
        <w:vanish w:val="0"/>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7D327B"/>
    <w:multiLevelType w:val="multilevel"/>
    <w:tmpl w:val="4CA24CE6"/>
    <w:numStyleLink w:val="StyleNumbered"/>
  </w:abstractNum>
  <w:num w:numId="1">
    <w:abstractNumId w:val="6"/>
  </w:num>
  <w:num w:numId="2">
    <w:abstractNumId w:val="8"/>
  </w:num>
  <w:num w:numId="3">
    <w:abstractNumId w:val="7"/>
  </w:num>
  <w:num w:numId="4">
    <w:abstractNumId w:val="13"/>
  </w:num>
  <w:num w:numId="5">
    <w:abstractNumId w:val="14"/>
  </w:num>
  <w:num w:numId="6">
    <w:abstractNumId w:val="5"/>
  </w:num>
  <w:num w:numId="7">
    <w:abstractNumId w:val="1"/>
  </w:num>
  <w:num w:numId="8">
    <w:abstractNumId w:val="12"/>
  </w:num>
  <w:num w:numId="9">
    <w:abstractNumId w:val="3"/>
  </w:num>
  <w:num w:numId="10">
    <w:abstractNumId w:val="11"/>
  </w:num>
  <w:num w:numId="11">
    <w:abstractNumId w:val="4"/>
  </w:num>
  <w:num w:numId="12">
    <w:abstractNumId w:val="0"/>
  </w:num>
  <w:num w:numId="13">
    <w:abstractNumId w:val="15"/>
  </w:num>
  <w:num w:numId="14">
    <w:abstractNumId w:val="10"/>
  </w:num>
  <w:num w:numId="15">
    <w:abstractNumId w:val="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07519"/>
    <w:rsid w:val="00000081"/>
    <w:rsid w:val="00001668"/>
    <w:rsid w:val="00006CC4"/>
    <w:rsid w:val="00020011"/>
    <w:rsid w:val="000238C1"/>
    <w:rsid w:val="00024FBC"/>
    <w:rsid w:val="00027F9F"/>
    <w:rsid w:val="000461B4"/>
    <w:rsid w:val="00051412"/>
    <w:rsid w:val="00077E8C"/>
    <w:rsid w:val="00096615"/>
    <w:rsid w:val="000B346B"/>
    <w:rsid w:val="000C08AA"/>
    <w:rsid w:val="000C329B"/>
    <w:rsid w:val="000D545E"/>
    <w:rsid w:val="000D71E4"/>
    <w:rsid w:val="000E5363"/>
    <w:rsid w:val="000F31D2"/>
    <w:rsid w:val="00103355"/>
    <w:rsid w:val="001100E8"/>
    <w:rsid w:val="00126B0B"/>
    <w:rsid w:val="00130CAF"/>
    <w:rsid w:val="00134F9F"/>
    <w:rsid w:val="00142FE4"/>
    <w:rsid w:val="001509C5"/>
    <w:rsid w:val="00151323"/>
    <w:rsid w:val="001656E0"/>
    <w:rsid w:val="00181F80"/>
    <w:rsid w:val="001A6381"/>
    <w:rsid w:val="001B571E"/>
    <w:rsid w:val="001B5CAF"/>
    <w:rsid w:val="001B7A5B"/>
    <w:rsid w:val="001C0D40"/>
    <w:rsid w:val="001C3AB6"/>
    <w:rsid w:val="001E49DD"/>
    <w:rsid w:val="001F224D"/>
    <w:rsid w:val="002020D6"/>
    <w:rsid w:val="002311D5"/>
    <w:rsid w:val="0023477E"/>
    <w:rsid w:val="00234816"/>
    <w:rsid w:val="00235738"/>
    <w:rsid w:val="00244B50"/>
    <w:rsid w:val="0024588A"/>
    <w:rsid w:val="0027241A"/>
    <w:rsid w:val="00275CDE"/>
    <w:rsid w:val="002771C2"/>
    <w:rsid w:val="00282DAB"/>
    <w:rsid w:val="002913C8"/>
    <w:rsid w:val="00297418"/>
    <w:rsid w:val="002A3DDF"/>
    <w:rsid w:val="002C2F53"/>
    <w:rsid w:val="002F05DC"/>
    <w:rsid w:val="0031382F"/>
    <w:rsid w:val="0032219A"/>
    <w:rsid w:val="00327FE1"/>
    <w:rsid w:val="003477FB"/>
    <w:rsid w:val="003653CD"/>
    <w:rsid w:val="003656B1"/>
    <w:rsid w:val="003860F2"/>
    <w:rsid w:val="003911B6"/>
    <w:rsid w:val="003A263E"/>
    <w:rsid w:val="003B34F8"/>
    <w:rsid w:val="003B38A4"/>
    <w:rsid w:val="003D017E"/>
    <w:rsid w:val="003D598B"/>
    <w:rsid w:val="003E286D"/>
    <w:rsid w:val="003E7A4A"/>
    <w:rsid w:val="0040138E"/>
    <w:rsid w:val="00405A07"/>
    <w:rsid w:val="00413C96"/>
    <w:rsid w:val="00417A8B"/>
    <w:rsid w:val="00421C42"/>
    <w:rsid w:val="00423BED"/>
    <w:rsid w:val="00423E0D"/>
    <w:rsid w:val="00425A2A"/>
    <w:rsid w:val="00441A42"/>
    <w:rsid w:val="004475DC"/>
    <w:rsid w:val="00447A22"/>
    <w:rsid w:val="00454F5E"/>
    <w:rsid w:val="004575B1"/>
    <w:rsid w:val="0046250D"/>
    <w:rsid w:val="004679A2"/>
    <w:rsid w:val="004751C3"/>
    <w:rsid w:val="00481161"/>
    <w:rsid w:val="004A0104"/>
    <w:rsid w:val="004D57A6"/>
    <w:rsid w:val="004D59FE"/>
    <w:rsid w:val="004E5D08"/>
    <w:rsid w:val="00503CC4"/>
    <w:rsid w:val="005067E0"/>
    <w:rsid w:val="00511A02"/>
    <w:rsid w:val="005260A7"/>
    <w:rsid w:val="00544067"/>
    <w:rsid w:val="00564F48"/>
    <w:rsid w:val="00565B95"/>
    <w:rsid w:val="00592593"/>
    <w:rsid w:val="00592ABA"/>
    <w:rsid w:val="0059607D"/>
    <w:rsid w:val="005977DB"/>
    <w:rsid w:val="005A528A"/>
    <w:rsid w:val="005B5339"/>
    <w:rsid w:val="005E0023"/>
    <w:rsid w:val="005E1F57"/>
    <w:rsid w:val="006033E1"/>
    <w:rsid w:val="00607937"/>
    <w:rsid w:val="0061302F"/>
    <w:rsid w:val="00627F7F"/>
    <w:rsid w:val="00632F8A"/>
    <w:rsid w:val="00634909"/>
    <w:rsid w:val="0063550A"/>
    <w:rsid w:val="0065342B"/>
    <w:rsid w:val="0066082D"/>
    <w:rsid w:val="00680CE1"/>
    <w:rsid w:val="006923C9"/>
    <w:rsid w:val="006C5E68"/>
    <w:rsid w:val="006D33A0"/>
    <w:rsid w:val="006E4DAC"/>
    <w:rsid w:val="00704A3D"/>
    <w:rsid w:val="00707519"/>
    <w:rsid w:val="00711D42"/>
    <w:rsid w:val="00756A81"/>
    <w:rsid w:val="0076119F"/>
    <w:rsid w:val="00766094"/>
    <w:rsid w:val="007D59EB"/>
    <w:rsid w:val="007D7CB7"/>
    <w:rsid w:val="007E4469"/>
    <w:rsid w:val="00812FC9"/>
    <w:rsid w:val="00820371"/>
    <w:rsid w:val="00820DBC"/>
    <w:rsid w:val="00825BA0"/>
    <w:rsid w:val="00873ECE"/>
    <w:rsid w:val="008A3E9A"/>
    <w:rsid w:val="008B03A1"/>
    <w:rsid w:val="008B16D6"/>
    <w:rsid w:val="008C4C02"/>
    <w:rsid w:val="008C69F4"/>
    <w:rsid w:val="008E2B9F"/>
    <w:rsid w:val="008E3B83"/>
    <w:rsid w:val="008F251C"/>
    <w:rsid w:val="00910B0E"/>
    <w:rsid w:val="00914011"/>
    <w:rsid w:val="00956E76"/>
    <w:rsid w:val="009758F6"/>
    <w:rsid w:val="00975C6C"/>
    <w:rsid w:val="009A3D9A"/>
    <w:rsid w:val="009C7376"/>
    <w:rsid w:val="009E7D5B"/>
    <w:rsid w:val="00A10DF1"/>
    <w:rsid w:val="00A162D8"/>
    <w:rsid w:val="00A235F0"/>
    <w:rsid w:val="00A50E99"/>
    <w:rsid w:val="00A5208D"/>
    <w:rsid w:val="00A5355F"/>
    <w:rsid w:val="00A56410"/>
    <w:rsid w:val="00A77626"/>
    <w:rsid w:val="00A84058"/>
    <w:rsid w:val="00A92C97"/>
    <w:rsid w:val="00AA1936"/>
    <w:rsid w:val="00AA2EB3"/>
    <w:rsid w:val="00AA58A6"/>
    <w:rsid w:val="00AC5CD9"/>
    <w:rsid w:val="00AD3702"/>
    <w:rsid w:val="00AD6439"/>
    <w:rsid w:val="00AF092A"/>
    <w:rsid w:val="00AF3CAC"/>
    <w:rsid w:val="00B30D84"/>
    <w:rsid w:val="00B31035"/>
    <w:rsid w:val="00B31209"/>
    <w:rsid w:val="00B33103"/>
    <w:rsid w:val="00B3488F"/>
    <w:rsid w:val="00B36EBE"/>
    <w:rsid w:val="00B37F45"/>
    <w:rsid w:val="00B6302D"/>
    <w:rsid w:val="00B946D8"/>
    <w:rsid w:val="00B97E23"/>
    <w:rsid w:val="00BB24E2"/>
    <w:rsid w:val="00BC4F9D"/>
    <w:rsid w:val="00BC5DEB"/>
    <w:rsid w:val="00BD0E67"/>
    <w:rsid w:val="00C00AAA"/>
    <w:rsid w:val="00C16F0C"/>
    <w:rsid w:val="00C24106"/>
    <w:rsid w:val="00C30C7F"/>
    <w:rsid w:val="00C31FE8"/>
    <w:rsid w:val="00C33805"/>
    <w:rsid w:val="00C41A7B"/>
    <w:rsid w:val="00C52931"/>
    <w:rsid w:val="00C65C87"/>
    <w:rsid w:val="00C711D0"/>
    <w:rsid w:val="00C76531"/>
    <w:rsid w:val="00C818DD"/>
    <w:rsid w:val="00C86BB6"/>
    <w:rsid w:val="00C872BA"/>
    <w:rsid w:val="00C94AEA"/>
    <w:rsid w:val="00C95766"/>
    <w:rsid w:val="00CB4F93"/>
    <w:rsid w:val="00CF478A"/>
    <w:rsid w:val="00D02B57"/>
    <w:rsid w:val="00D24ADF"/>
    <w:rsid w:val="00D25C8A"/>
    <w:rsid w:val="00D3289D"/>
    <w:rsid w:val="00D369A1"/>
    <w:rsid w:val="00D44957"/>
    <w:rsid w:val="00D4499D"/>
    <w:rsid w:val="00D52188"/>
    <w:rsid w:val="00D53A35"/>
    <w:rsid w:val="00D71CA1"/>
    <w:rsid w:val="00D80555"/>
    <w:rsid w:val="00D92909"/>
    <w:rsid w:val="00D93638"/>
    <w:rsid w:val="00DA7312"/>
    <w:rsid w:val="00DC7F3E"/>
    <w:rsid w:val="00DE5BF9"/>
    <w:rsid w:val="00DF0A13"/>
    <w:rsid w:val="00DF14CF"/>
    <w:rsid w:val="00E255DB"/>
    <w:rsid w:val="00E55F45"/>
    <w:rsid w:val="00E57BB6"/>
    <w:rsid w:val="00E663E7"/>
    <w:rsid w:val="00E87174"/>
    <w:rsid w:val="00E9201A"/>
    <w:rsid w:val="00E92346"/>
    <w:rsid w:val="00EA525B"/>
    <w:rsid w:val="00EB4423"/>
    <w:rsid w:val="00EC49FE"/>
    <w:rsid w:val="00EC53CD"/>
    <w:rsid w:val="00EE232E"/>
    <w:rsid w:val="00F057D0"/>
    <w:rsid w:val="00F21A44"/>
    <w:rsid w:val="00F23677"/>
    <w:rsid w:val="00F30D44"/>
    <w:rsid w:val="00F430B8"/>
    <w:rsid w:val="00F44169"/>
    <w:rsid w:val="00F61E60"/>
    <w:rsid w:val="00F86AF5"/>
    <w:rsid w:val="00F86CAC"/>
    <w:rsid w:val="00F90170"/>
    <w:rsid w:val="00F950CD"/>
    <w:rsid w:val="00FB13AA"/>
    <w:rsid w:val="00FB789E"/>
    <w:rsid w:val="00FC3507"/>
    <w:rsid w:val="00FC42C5"/>
    <w:rsid w:val="00FC4F92"/>
    <w:rsid w:val="00FD50DE"/>
    <w:rsid w:val="00FD79C2"/>
    <w:rsid w:val="00FE506C"/>
    <w:rsid w:val="00FF50D1"/>
    <w:rsid w:val="00FF5B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33805"/>
    <w:pPr>
      <w:keepNext/>
      <w:numPr>
        <w:numId w:val="16"/>
      </w:numPr>
      <w:spacing w:before="240"/>
      <w:outlineLvl w:val="0"/>
    </w:pPr>
    <w:rPr>
      <w:b/>
      <w:smallCaps/>
    </w:rPr>
  </w:style>
  <w:style w:type="paragraph" w:styleId="Heading2">
    <w:name w:val="heading 2"/>
    <w:basedOn w:val="Normal"/>
    <w:next w:val="Normal"/>
    <w:link w:val="Heading2Char"/>
    <w:semiHidden/>
    <w:unhideWhenUsed/>
    <w:qFormat/>
    <w:rsid w:val="00C33805"/>
    <w:pPr>
      <w:keepNext/>
      <w:numPr>
        <w:ilvl w:val="1"/>
        <w:numId w:val="16"/>
      </w:numPr>
      <w:outlineLvl w:val="1"/>
    </w:pPr>
    <w:rPr>
      <w:b/>
    </w:rPr>
  </w:style>
  <w:style w:type="paragraph" w:styleId="Heading3">
    <w:name w:val="heading 3"/>
    <w:basedOn w:val="Normal"/>
    <w:next w:val="Normal"/>
    <w:link w:val="Heading3Char"/>
    <w:semiHidden/>
    <w:unhideWhenUsed/>
    <w:qFormat/>
    <w:rsid w:val="00C33805"/>
    <w:pPr>
      <w:keepNext/>
      <w:numPr>
        <w:ilvl w:val="2"/>
        <w:numId w:val="16"/>
      </w:numPr>
      <w:outlineLvl w:val="2"/>
    </w:pPr>
    <w:rPr>
      <w:i/>
    </w:rPr>
  </w:style>
  <w:style w:type="paragraph" w:styleId="Heading4">
    <w:name w:val="heading 4"/>
    <w:basedOn w:val="Normal"/>
    <w:next w:val="Normal"/>
    <w:link w:val="Heading4Char"/>
    <w:semiHidden/>
    <w:unhideWhenUsed/>
    <w:qFormat/>
    <w:rsid w:val="00C33805"/>
    <w:pPr>
      <w:keepNext/>
      <w:numPr>
        <w:ilvl w:val="3"/>
        <w:numId w:val="16"/>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F251C"/>
    <w:pPr>
      <w:spacing w:after="240"/>
      <w:ind w:left="357" w:hanging="357"/>
      <w:jc w:val="both"/>
    </w:pPr>
    <w:rPr>
      <w:sz w:val="20"/>
      <w:szCs w:val="20"/>
      <w:lang w:val="fr-FR" w:eastAsia="en-US"/>
    </w:rPr>
  </w:style>
  <w:style w:type="character" w:styleId="FootnoteReference">
    <w:name w:val="footnote reference"/>
    <w:semiHidden/>
    <w:rsid w:val="008F251C"/>
    <w:rPr>
      <w:vertAlign w:val="superscript"/>
    </w:rPr>
  </w:style>
  <w:style w:type="paragraph" w:customStyle="1" w:styleId="me-testo">
    <w:name w:val="me-testo"/>
    <w:basedOn w:val="Normal"/>
    <w:rsid w:val="008F251C"/>
    <w:pPr>
      <w:spacing w:before="100" w:beforeAutospacing="1" w:after="100" w:afterAutospacing="1"/>
    </w:pPr>
    <w:rPr>
      <w:lang w:eastAsia="ko-KR"/>
    </w:rPr>
  </w:style>
  <w:style w:type="paragraph" w:styleId="Footer">
    <w:name w:val="footer"/>
    <w:basedOn w:val="Normal"/>
    <w:rsid w:val="00D52188"/>
    <w:pPr>
      <w:tabs>
        <w:tab w:val="center" w:pos="4703"/>
        <w:tab w:val="right" w:pos="9406"/>
      </w:tabs>
    </w:pPr>
  </w:style>
  <w:style w:type="character" w:styleId="PageNumber">
    <w:name w:val="page number"/>
    <w:basedOn w:val="DefaultParagraphFont"/>
    <w:rsid w:val="00D52188"/>
  </w:style>
  <w:style w:type="paragraph" w:styleId="Header">
    <w:name w:val="header"/>
    <w:basedOn w:val="Normal"/>
    <w:rsid w:val="00D52188"/>
    <w:pPr>
      <w:tabs>
        <w:tab w:val="center" w:pos="4703"/>
        <w:tab w:val="right" w:pos="9406"/>
      </w:tabs>
    </w:pPr>
  </w:style>
  <w:style w:type="paragraph" w:styleId="DocumentMap">
    <w:name w:val="Document Map"/>
    <w:basedOn w:val="Normal"/>
    <w:semiHidden/>
    <w:rsid w:val="00FF50D1"/>
    <w:pPr>
      <w:shd w:val="clear" w:color="auto" w:fill="000080"/>
    </w:pPr>
    <w:rPr>
      <w:rFonts w:ascii="Tahoma" w:hAnsi="Tahoma" w:cs="Tahoma"/>
      <w:sz w:val="20"/>
      <w:szCs w:val="20"/>
    </w:rPr>
  </w:style>
  <w:style w:type="paragraph" w:styleId="BalloonText">
    <w:name w:val="Balloon Text"/>
    <w:basedOn w:val="Normal"/>
    <w:semiHidden/>
    <w:rsid w:val="00244B50"/>
    <w:rPr>
      <w:rFonts w:ascii="Tahoma" w:hAnsi="Tahoma" w:cs="Tahoma"/>
      <w:sz w:val="16"/>
      <w:szCs w:val="16"/>
    </w:rPr>
  </w:style>
  <w:style w:type="character" w:styleId="Hyperlink">
    <w:name w:val="Hyperlink"/>
    <w:rsid w:val="0065342B"/>
    <w:rPr>
      <w:color w:val="0000FF"/>
      <w:u w:val="single"/>
    </w:rPr>
  </w:style>
  <w:style w:type="character" w:styleId="FollowedHyperlink">
    <w:name w:val="FollowedHyperlink"/>
    <w:rsid w:val="00910B0E"/>
    <w:rPr>
      <w:color w:val="800080"/>
      <w:u w:val="single"/>
    </w:rPr>
  </w:style>
  <w:style w:type="table" w:styleId="TableGrid">
    <w:name w:val="Table Grid"/>
    <w:basedOn w:val="TableNormal"/>
    <w:rsid w:val="002F0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
    <w:name w:val="Style Numbered"/>
    <w:basedOn w:val="NoList"/>
    <w:rsid w:val="004679A2"/>
    <w:pPr>
      <w:numPr>
        <w:numId w:val="9"/>
      </w:numPr>
    </w:pPr>
  </w:style>
  <w:style w:type="paragraph" w:customStyle="1" w:styleId="Numbered">
    <w:name w:val="Numbered"/>
    <w:basedOn w:val="Normal"/>
    <w:link w:val="NumberedChar"/>
    <w:qFormat/>
    <w:rsid w:val="004679A2"/>
    <w:pPr>
      <w:numPr>
        <w:numId w:val="7"/>
      </w:numPr>
      <w:ind w:left="426" w:hanging="426"/>
      <w:jc w:val="both"/>
    </w:pPr>
  </w:style>
  <w:style w:type="character" w:customStyle="1" w:styleId="NumberedChar">
    <w:name w:val="Numbered Char"/>
    <w:link w:val="Numbered"/>
    <w:rsid w:val="004679A2"/>
    <w:rPr>
      <w:sz w:val="24"/>
      <w:szCs w:val="24"/>
    </w:rPr>
  </w:style>
  <w:style w:type="character" w:customStyle="1" w:styleId="FootnoteTextChar">
    <w:name w:val="Footnote Text Char"/>
    <w:link w:val="FootnoteText"/>
    <w:semiHidden/>
    <w:rsid w:val="002771C2"/>
    <w:rPr>
      <w:lang w:val="fr-FR" w:eastAsia="en-US"/>
    </w:rPr>
  </w:style>
  <w:style w:type="paragraph" w:customStyle="1" w:styleId="Enclosures">
    <w:name w:val="Enclosures"/>
    <w:basedOn w:val="Normal"/>
    <w:next w:val="Normal"/>
    <w:rsid w:val="00711D42"/>
    <w:pPr>
      <w:keepNext/>
      <w:keepLines/>
      <w:tabs>
        <w:tab w:val="left" w:pos="5670"/>
      </w:tabs>
      <w:spacing w:before="480"/>
      <w:ind w:left="1985" w:hanging="1985"/>
    </w:pPr>
  </w:style>
  <w:style w:type="character" w:customStyle="1" w:styleId="Heading1Char">
    <w:name w:val="Heading 1 Char"/>
    <w:basedOn w:val="DefaultParagraphFont"/>
    <w:link w:val="Heading1"/>
    <w:rsid w:val="00C33805"/>
    <w:rPr>
      <w:b/>
      <w:smallCaps/>
      <w:sz w:val="24"/>
      <w:szCs w:val="24"/>
    </w:rPr>
  </w:style>
  <w:style w:type="character" w:customStyle="1" w:styleId="Heading2Char">
    <w:name w:val="Heading 2 Char"/>
    <w:basedOn w:val="DefaultParagraphFont"/>
    <w:link w:val="Heading2"/>
    <w:semiHidden/>
    <w:rsid w:val="00C33805"/>
    <w:rPr>
      <w:b/>
      <w:sz w:val="24"/>
      <w:szCs w:val="24"/>
    </w:rPr>
  </w:style>
  <w:style w:type="character" w:customStyle="1" w:styleId="Heading3Char">
    <w:name w:val="Heading 3 Char"/>
    <w:basedOn w:val="DefaultParagraphFont"/>
    <w:link w:val="Heading3"/>
    <w:semiHidden/>
    <w:rsid w:val="00C33805"/>
    <w:rPr>
      <w:i/>
      <w:sz w:val="24"/>
      <w:szCs w:val="24"/>
    </w:rPr>
  </w:style>
  <w:style w:type="character" w:customStyle="1" w:styleId="Heading4Char">
    <w:name w:val="Heading 4 Char"/>
    <w:basedOn w:val="DefaultParagraphFont"/>
    <w:link w:val="Heading4"/>
    <w:semiHidden/>
    <w:rsid w:val="00C33805"/>
    <w:rPr>
      <w:sz w:val="24"/>
      <w:szCs w:val="24"/>
    </w:rPr>
  </w:style>
  <w:style w:type="paragraph" w:customStyle="1" w:styleId="NumPar1">
    <w:name w:val="NumPar 1"/>
    <w:basedOn w:val="Heading1"/>
    <w:next w:val="Normal"/>
    <w:rsid w:val="00C33805"/>
    <w:pPr>
      <w:keepNext w:val="0"/>
      <w:spacing w:before="0"/>
      <w:outlineLvl w:val="9"/>
    </w:pPr>
    <w:rPr>
      <w:b w:val="0"/>
      <w:smallCap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33805"/>
    <w:pPr>
      <w:keepNext/>
      <w:numPr>
        <w:numId w:val="16"/>
      </w:numPr>
      <w:spacing w:before="240"/>
      <w:outlineLvl w:val="0"/>
    </w:pPr>
    <w:rPr>
      <w:b/>
      <w:smallCaps/>
    </w:rPr>
  </w:style>
  <w:style w:type="paragraph" w:styleId="Heading2">
    <w:name w:val="heading 2"/>
    <w:basedOn w:val="Normal"/>
    <w:next w:val="Normal"/>
    <w:link w:val="Heading2Char"/>
    <w:semiHidden/>
    <w:unhideWhenUsed/>
    <w:qFormat/>
    <w:rsid w:val="00C33805"/>
    <w:pPr>
      <w:keepNext/>
      <w:numPr>
        <w:ilvl w:val="1"/>
        <w:numId w:val="16"/>
      </w:numPr>
      <w:outlineLvl w:val="1"/>
    </w:pPr>
    <w:rPr>
      <w:b/>
    </w:rPr>
  </w:style>
  <w:style w:type="paragraph" w:styleId="Heading3">
    <w:name w:val="heading 3"/>
    <w:basedOn w:val="Normal"/>
    <w:next w:val="Normal"/>
    <w:link w:val="Heading3Char"/>
    <w:semiHidden/>
    <w:unhideWhenUsed/>
    <w:qFormat/>
    <w:rsid w:val="00C33805"/>
    <w:pPr>
      <w:keepNext/>
      <w:numPr>
        <w:ilvl w:val="2"/>
        <w:numId w:val="16"/>
      </w:numPr>
      <w:outlineLvl w:val="2"/>
    </w:pPr>
    <w:rPr>
      <w:i/>
    </w:rPr>
  </w:style>
  <w:style w:type="paragraph" w:styleId="Heading4">
    <w:name w:val="heading 4"/>
    <w:basedOn w:val="Normal"/>
    <w:next w:val="Normal"/>
    <w:link w:val="Heading4Char"/>
    <w:semiHidden/>
    <w:unhideWhenUsed/>
    <w:qFormat/>
    <w:rsid w:val="00C33805"/>
    <w:pPr>
      <w:keepNext/>
      <w:numPr>
        <w:ilvl w:val="3"/>
        <w:numId w:val="16"/>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F251C"/>
    <w:pPr>
      <w:spacing w:after="240"/>
      <w:ind w:left="357" w:hanging="357"/>
      <w:jc w:val="both"/>
    </w:pPr>
    <w:rPr>
      <w:sz w:val="20"/>
      <w:szCs w:val="20"/>
      <w:lang w:val="fr-FR" w:eastAsia="en-US"/>
    </w:rPr>
  </w:style>
  <w:style w:type="character" w:styleId="FootnoteReference">
    <w:name w:val="footnote reference"/>
    <w:semiHidden/>
    <w:rsid w:val="008F251C"/>
    <w:rPr>
      <w:vertAlign w:val="superscript"/>
    </w:rPr>
  </w:style>
  <w:style w:type="paragraph" w:customStyle="1" w:styleId="me-testo">
    <w:name w:val="me-testo"/>
    <w:basedOn w:val="Normal"/>
    <w:rsid w:val="008F251C"/>
    <w:pPr>
      <w:spacing w:before="100" w:beforeAutospacing="1" w:after="100" w:afterAutospacing="1"/>
    </w:pPr>
    <w:rPr>
      <w:lang w:eastAsia="ko-KR"/>
    </w:rPr>
  </w:style>
  <w:style w:type="paragraph" w:styleId="Footer">
    <w:name w:val="footer"/>
    <w:basedOn w:val="Normal"/>
    <w:rsid w:val="00D52188"/>
    <w:pPr>
      <w:tabs>
        <w:tab w:val="center" w:pos="4703"/>
        <w:tab w:val="right" w:pos="9406"/>
      </w:tabs>
    </w:pPr>
  </w:style>
  <w:style w:type="character" w:styleId="PageNumber">
    <w:name w:val="page number"/>
    <w:basedOn w:val="DefaultParagraphFont"/>
    <w:rsid w:val="00D52188"/>
  </w:style>
  <w:style w:type="paragraph" w:styleId="Header">
    <w:name w:val="header"/>
    <w:basedOn w:val="Normal"/>
    <w:rsid w:val="00D52188"/>
    <w:pPr>
      <w:tabs>
        <w:tab w:val="center" w:pos="4703"/>
        <w:tab w:val="right" w:pos="9406"/>
      </w:tabs>
    </w:pPr>
  </w:style>
  <w:style w:type="paragraph" w:styleId="DocumentMap">
    <w:name w:val="Document Map"/>
    <w:basedOn w:val="Normal"/>
    <w:semiHidden/>
    <w:rsid w:val="00FF50D1"/>
    <w:pPr>
      <w:shd w:val="clear" w:color="auto" w:fill="000080"/>
    </w:pPr>
    <w:rPr>
      <w:rFonts w:ascii="Tahoma" w:hAnsi="Tahoma" w:cs="Tahoma"/>
      <w:sz w:val="20"/>
      <w:szCs w:val="20"/>
    </w:rPr>
  </w:style>
  <w:style w:type="paragraph" w:styleId="BalloonText">
    <w:name w:val="Balloon Text"/>
    <w:basedOn w:val="Normal"/>
    <w:semiHidden/>
    <w:rsid w:val="00244B50"/>
    <w:rPr>
      <w:rFonts w:ascii="Tahoma" w:hAnsi="Tahoma" w:cs="Tahoma"/>
      <w:sz w:val="16"/>
      <w:szCs w:val="16"/>
    </w:rPr>
  </w:style>
  <w:style w:type="character" w:styleId="Hyperlink">
    <w:name w:val="Hyperlink"/>
    <w:rsid w:val="0065342B"/>
    <w:rPr>
      <w:color w:val="0000FF"/>
      <w:u w:val="single"/>
    </w:rPr>
  </w:style>
  <w:style w:type="character" w:styleId="FollowedHyperlink">
    <w:name w:val="FollowedHyperlink"/>
    <w:rsid w:val="00910B0E"/>
    <w:rPr>
      <w:color w:val="800080"/>
      <w:u w:val="single"/>
    </w:rPr>
  </w:style>
  <w:style w:type="table" w:styleId="TableGrid">
    <w:name w:val="Table Grid"/>
    <w:basedOn w:val="TableNormal"/>
    <w:rsid w:val="002F0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
    <w:name w:val="Style Numbered"/>
    <w:basedOn w:val="NoList"/>
    <w:rsid w:val="004679A2"/>
    <w:pPr>
      <w:numPr>
        <w:numId w:val="9"/>
      </w:numPr>
    </w:pPr>
  </w:style>
  <w:style w:type="paragraph" w:customStyle="1" w:styleId="Numbered">
    <w:name w:val="Numbered"/>
    <w:basedOn w:val="Normal"/>
    <w:link w:val="NumberedChar"/>
    <w:qFormat/>
    <w:rsid w:val="004679A2"/>
    <w:pPr>
      <w:numPr>
        <w:numId w:val="7"/>
      </w:numPr>
      <w:ind w:left="426" w:hanging="426"/>
      <w:jc w:val="both"/>
    </w:pPr>
  </w:style>
  <w:style w:type="character" w:customStyle="1" w:styleId="NumberedChar">
    <w:name w:val="Numbered Char"/>
    <w:link w:val="Numbered"/>
    <w:rsid w:val="004679A2"/>
    <w:rPr>
      <w:sz w:val="24"/>
      <w:szCs w:val="24"/>
    </w:rPr>
  </w:style>
  <w:style w:type="character" w:customStyle="1" w:styleId="FootnoteTextChar">
    <w:name w:val="Footnote Text Char"/>
    <w:link w:val="FootnoteText"/>
    <w:semiHidden/>
    <w:rsid w:val="002771C2"/>
    <w:rPr>
      <w:lang w:val="fr-FR" w:eastAsia="en-US"/>
    </w:rPr>
  </w:style>
  <w:style w:type="paragraph" w:customStyle="1" w:styleId="Enclosures">
    <w:name w:val="Enclosures"/>
    <w:basedOn w:val="Normal"/>
    <w:next w:val="Normal"/>
    <w:rsid w:val="00711D42"/>
    <w:pPr>
      <w:keepNext/>
      <w:keepLines/>
      <w:tabs>
        <w:tab w:val="left" w:pos="5670"/>
      </w:tabs>
      <w:spacing w:before="480"/>
      <w:ind w:left="1985" w:hanging="1985"/>
    </w:pPr>
  </w:style>
  <w:style w:type="character" w:customStyle="1" w:styleId="Heading1Char">
    <w:name w:val="Heading 1 Char"/>
    <w:basedOn w:val="DefaultParagraphFont"/>
    <w:link w:val="Heading1"/>
    <w:rsid w:val="00C33805"/>
    <w:rPr>
      <w:b/>
      <w:smallCaps/>
      <w:sz w:val="24"/>
      <w:szCs w:val="24"/>
    </w:rPr>
  </w:style>
  <w:style w:type="character" w:customStyle="1" w:styleId="Heading2Char">
    <w:name w:val="Heading 2 Char"/>
    <w:basedOn w:val="DefaultParagraphFont"/>
    <w:link w:val="Heading2"/>
    <w:semiHidden/>
    <w:rsid w:val="00C33805"/>
    <w:rPr>
      <w:b/>
      <w:sz w:val="24"/>
      <w:szCs w:val="24"/>
    </w:rPr>
  </w:style>
  <w:style w:type="character" w:customStyle="1" w:styleId="Heading3Char">
    <w:name w:val="Heading 3 Char"/>
    <w:basedOn w:val="DefaultParagraphFont"/>
    <w:link w:val="Heading3"/>
    <w:semiHidden/>
    <w:rsid w:val="00C33805"/>
    <w:rPr>
      <w:i/>
      <w:sz w:val="24"/>
      <w:szCs w:val="24"/>
    </w:rPr>
  </w:style>
  <w:style w:type="character" w:customStyle="1" w:styleId="Heading4Char">
    <w:name w:val="Heading 4 Char"/>
    <w:basedOn w:val="DefaultParagraphFont"/>
    <w:link w:val="Heading4"/>
    <w:semiHidden/>
    <w:rsid w:val="00C33805"/>
    <w:rPr>
      <w:sz w:val="24"/>
      <w:szCs w:val="24"/>
    </w:rPr>
  </w:style>
  <w:style w:type="paragraph" w:customStyle="1" w:styleId="NumPar1">
    <w:name w:val="NumPar 1"/>
    <w:basedOn w:val="Heading1"/>
    <w:next w:val="Normal"/>
    <w:rsid w:val="00C33805"/>
    <w:pPr>
      <w:keepNext w:val="0"/>
      <w:spacing w:before="0"/>
      <w:outlineLvl w:val="9"/>
    </w:pPr>
    <w:rPr>
      <w:b w:val="0"/>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0183">
      <w:bodyDiv w:val="1"/>
      <w:marLeft w:val="0"/>
      <w:marRight w:val="0"/>
      <w:marTop w:val="0"/>
      <w:marBottom w:val="0"/>
      <w:divBdr>
        <w:top w:val="none" w:sz="0" w:space="0" w:color="auto"/>
        <w:left w:val="none" w:sz="0" w:space="0" w:color="auto"/>
        <w:bottom w:val="none" w:sz="0" w:space="0" w:color="auto"/>
        <w:right w:val="none" w:sz="0" w:space="0" w:color="auto"/>
      </w:divBdr>
    </w:div>
    <w:div w:id="916668891">
      <w:bodyDiv w:val="1"/>
      <w:marLeft w:val="0"/>
      <w:marRight w:val="0"/>
      <w:marTop w:val="0"/>
      <w:marBottom w:val="0"/>
      <w:divBdr>
        <w:top w:val="none" w:sz="0" w:space="0" w:color="auto"/>
        <w:left w:val="none" w:sz="0" w:space="0" w:color="auto"/>
        <w:bottom w:val="none" w:sz="0" w:space="0" w:color="auto"/>
        <w:right w:val="none" w:sz="0" w:space="0" w:color="auto"/>
      </w:divBdr>
    </w:div>
    <w:div w:id="1398093895">
      <w:bodyDiv w:val="1"/>
      <w:marLeft w:val="0"/>
      <w:marRight w:val="0"/>
      <w:marTop w:val="0"/>
      <w:marBottom w:val="0"/>
      <w:divBdr>
        <w:top w:val="none" w:sz="0" w:space="0" w:color="auto"/>
        <w:left w:val="none" w:sz="0" w:space="0" w:color="auto"/>
        <w:bottom w:val="none" w:sz="0" w:space="0" w:color="auto"/>
        <w:right w:val="none" w:sz="0" w:space="0" w:color="auto"/>
      </w:divBdr>
    </w:div>
    <w:div w:id="1799642765">
      <w:bodyDiv w:val="1"/>
      <w:marLeft w:val="0"/>
      <w:marRight w:val="0"/>
      <w:marTop w:val="0"/>
      <w:marBottom w:val="0"/>
      <w:divBdr>
        <w:top w:val="none" w:sz="0" w:space="0" w:color="auto"/>
        <w:left w:val="none" w:sz="0" w:space="0" w:color="auto"/>
        <w:bottom w:val="none" w:sz="0" w:space="0" w:color="auto"/>
        <w:right w:val="none" w:sz="0" w:space="0" w:color="auto"/>
      </w:divBdr>
    </w:div>
    <w:div w:id="1815178806">
      <w:bodyDiv w:val="1"/>
      <w:marLeft w:val="0"/>
      <w:marRight w:val="0"/>
      <w:marTop w:val="0"/>
      <w:marBottom w:val="0"/>
      <w:divBdr>
        <w:top w:val="none" w:sz="0" w:space="0" w:color="auto"/>
        <w:left w:val="none" w:sz="0" w:space="0" w:color="auto"/>
        <w:bottom w:val="none" w:sz="0" w:space="0" w:color="auto"/>
        <w:right w:val="none" w:sz="0" w:space="0" w:color="auto"/>
      </w:divBdr>
    </w:div>
    <w:div w:id="2024042372">
      <w:bodyDiv w:val="1"/>
      <w:marLeft w:val="0"/>
      <w:marRight w:val="0"/>
      <w:marTop w:val="0"/>
      <w:marBottom w:val="0"/>
      <w:divBdr>
        <w:top w:val="none" w:sz="0" w:space="0" w:color="auto"/>
        <w:left w:val="none" w:sz="0" w:space="0" w:color="auto"/>
        <w:bottom w:val="none" w:sz="0" w:space="0" w:color="auto"/>
        <w:right w:val="none" w:sz="0" w:space="0" w:color="auto"/>
      </w:divBdr>
    </w:div>
    <w:div w:id="2051295160">
      <w:bodyDiv w:val="1"/>
      <w:marLeft w:val="0"/>
      <w:marRight w:val="0"/>
      <w:marTop w:val="0"/>
      <w:marBottom w:val="0"/>
      <w:divBdr>
        <w:top w:val="none" w:sz="0" w:space="0" w:color="auto"/>
        <w:left w:val="none" w:sz="0" w:space="0" w:color="auto"/>
        <w:bottom w:val="none" w:sz="0" w:space="0" w:color="auto"/>
        <w:right w:val="none" w:sz="0" w:space="0" w:color="auto"/>
      </w:divBdr>
    </w:div>
    <w:div w:id="20984023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eas.europa.eu/delegations/ukrain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ELEGATION-UKRAINE-PI-TENDER@eeas.europa.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mbudsman.europa.e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c.europa.eu/budget/explained/management/protecting/protect_en.cf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eas.europa.eu/delegations/ukrai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Category xmlns="c02e182b-7e46-4567-89e5-b76ccbd06361">Guidance</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CEF94C90566644A6303F8B5C61B1E7" ma:contentTypeVersion="2" ma:contentTypeDescription="Create a new document." ma:contentTypeScope="" ma:versionID="73d1719ad79ba3ab2bc7f507544d1c8d">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528dd9b9c6ea4b97d930bd6b0d614684"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0">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C6ABE-47B4-4EB4-9587-CEA288A0D56A}">
  <ds:schemaRefs>
    <ds:schemaRef ds:uri="http://schemas.microsoft.com/sharepoint/v3/contenttype/forms"/>
  </ds:schemaRefs>
</ds:datastoreItem>
</file>

<file path=customXml/itemProps2.xml><?xml version="1.0" encoding="utf-8"?>
<ds:datastoreItem xmlns:ds="http://schemas.openxmlformats.org/officeDocument/2006/customXml" ds:itemID="{049D86FE-027D-4B6F-A468-84994255ACE7}">
  <ds:schemaRefs>
    <ds:schemaRef ds:uri="http://schemas.openxmlformats.org/package/2006/metadata/core-properties"/>
    <ds:schemaRef ds:uri="http://www.w3.org/XML/1998/namespace"/>
    <ds:schemaRef ds:uri="http://purl.org/dc/terms/"/>
    <ds:schemaRef ds:uri="c02e182b-7e46-4567-89e5-b76ccbd06361"/>
    <ds:schemaRef ds:uri="http://purl.org/dc/dcmitype/"/>
    <ds:schemaRef ds:uri="http://purl.org/dc/elements/1.1/"/>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5A4BCB1-91F9-4873-A8C7-610DC57CC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9FCD51-3172-4CDF-99C0-230CACB1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1184</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Madame, Monsieur,</vt:lpstr>
    </vt:vector>
  </TitlesOfParts>
  <Company>European Commission</Company>
  <LinksUpToDate>false</LinksUpToDate>
  <CharactersWithSpaces>8059</CharactersWithSpaces>
  <SharedDoc>false</SharedDoc>
  <HLinks>
    <vt:vector size="12" baseType="variant">
      <vt:variant>
        <vt:i4>4718624</vt:i4>
      </vt:variant>
      <vt:variant>
        <vt:i4>3</vt:i4>
      </vt:variant>
      <vt:variant>
        <vt:i4>0</vt:i4>
      </vt:variant>
      <vt:variant>
        <vt:i4>5</vt:i4>
      </vt:variant>
      <vt:variant>
        <vt:lpwstr>http://ec.europa.eu/budget/explained/management/protecting/protect_en.cfm</vt:lpwstr>
      </vt:variant>
      <vt:variant>
        <vt:lpwstr>BDCE</vt:lpwstr>
      </vt:variant>
      <vt:variant>
        <vt:i4>3997753</vt:i4>
      </vt:variant>
      <vt:variant>
        <vt:i4>0</vt:i4>
      </vt:variant>
      <vt:variant>
        <vt:i4>0</vt:i4>
      </vt:variant>
      <vt:variant>
        <vt:i4>5</vt:i4>
      </vt:variant>
      <vt:variant>
        <vt:lpwstr>http://ec.europa.eu/dataprotectionofficer/privacystatement_publicprocurement_en.pdf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creator>taymama</dc:creator>
  <cp:lastModifiedBy> </cp:lastModifiedBy>
  <cp:revision>10</cp:revision>
  <cp:lastPrinted>2016-07-07T08:37:00Z</cp:lastPrinted>
  <dcterms:created xsi:type="dcterms:W3CDTF">2016-07-06T12:04:00Z</dcterms:created>
  <dcterms:modified xsi:type="dcterms:W3CDTF">2016-07-19T09:48:00Z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40900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0x010100E2CEF94C90566644A6303F8B5C61B1E7</vt:lpwstr>
  </property>
  <property fmtid="{D5CDD505-2E9C-101B-9397-08002B2CF9AE}" pid="6" name="_SharedFileIndex">
    <vt:lpwstr/>
  </property>
  <property fmtid="{D5CDD505-2E9C-101B-9397-08002B2CF9AE}" pid="7" name="_SourceUrl">
    <vt:lpwstr/>
  </property>
  <property fmtid="{D5CDD505-2E9C-101B-9397-08002B2CF9AE}" pid="8" name="TemplateUrl">
    <vt:lpwstr/>
  </property>
  <property fmtid="{D5CDD505-2E9C-101B-9397-08002B2CF9AE}" pid="9" name="Category">
    <vt:lpwstr>Letter/declaration</vt:lpwstr>
  </property>
</Properties>
</file>