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18" w:rsidRDefault="00CD3A18" w:rsidP="008A6A9C">
      <w:pPr>
        <w:jc w:val="both"/>
      </w:pPr>
      <w:r>
        <w:t>On 4 February the</w:t>
      </w:r>
      <w:r w:rsidRPr="00BC17D6">
        <w:t xml:space="preserve"> Directorate-General for </w:t>
      </w:r>
      <w:smartTag w:uri="urn:schemas-microsoft-com:office:smarttags" w:element="City">
        <w:smartTag w:uri="urn:schemas-microsoft-com:office:smarttags" w:element="place">
          <w:r w:rsidRPr="00BC17D6">
            <w:t>Enterprise</w:t>
          </w:r>
        </w:smartTag>
      </w:smartTag>
      <w:r w:rsidRPr="00BC17D6">
        <w:t xml:space="preserve"> and Industry</w:t>
      </w:r>
      <w:r>
        <w:t xml:space="preserve"> of the European Commission officially presented in Tirana the results of the Small and Medium-Sized Enterprises (SMEs) Policy Index report. The SME Policy Index: Western Balkans and Turkey 2012 – Progress in the Implementation of the Small Business Act for </w:t>
      </w:r>
      <w:smartTag w:uri="urn:schemas-microsoft-com:office:smarttags" w:element="place">
        <w:r>
          <w:t>Europe</w:t>
        </w:r>
      </w:smartTag>
      <w:r>
        <w:t xml:space="preserve"> gives policymakers a framework to assess national SME policies. The report helps identify strengths and weaknesses in policy design and implementation, compare experiences and performance, set priorities and measure convergence towards implementation of the policy principles promoted by the Small Business Act for </w:t>
      </w:r>
      <w:smartTag w:uri="urn:schemas-microsoft-com:office:smarttags" w:element="place">
        <w:r>
          <w:t>Europe</w:t>
        </w:r>
      </w:smartTag>
      <w:r>
        <w:t>. It also benchmarks the region's progress against similar assessments carried out in 2006 and 2009.</w:t>
      </w:r>
    </w:p>
    <w:p w:rsidR="00CD3A18" w:rsidRDefault="00CD3A18" w:rsidP="008A6A9C">
      <w:pPr>
        <w:jc w:val="both"/>
      </w:pPr>
      <w:r>
        <w:t>This publication is the result of a joint effort of the European Commission, the OECD, the European Training Foundation and the European Bank for Reconstruction and Development together with the national Small Business Act co-ordinators from the EU pre-accession region.</w:t>
      </w:r>
    </w:p>
    <w:p w:rsidR="00CD3A18" w:rsidRDefault="00CD3A18" w:rsidP="008A6A9C">
      <w:pPr>
        <w:jc w:val="both"/>
        <w:rPr>
          <w:rFonts w:cs="Calibri"/>
        </w:rPr>
      </w:pPr>
      <w:r w:rsidRPr="00BF10AD">
        <w:rPr>
          <w:rFonts w:cs="Calibri"/>
        </w:rPr>
        <w:t>The Small Business Act</w:t>
      </w:r>
      <w:r>
        <w:rPr>
          <w:rFonts w:cs="Calibri"/>
        </w:rPr>
        <w:t xml:space="preserve"> (SBA)</w:t>
      </w:r>
      <w:r w:rsidRPr="00BF10AD">
        <w:rPr>
          <w:rFonts w:cs="Calibri"/>
        </w:rPr>
        <w:t xml:space="preserve"> </w:t>
      </w:r>
      <w:r>
        <w:rPr>
          <w:rFonts w:cs="Calibri"/>
        </w:rPr>
        <w:t xml:space="preserve">consists of </w:t>
      </w:r>
      <w:r w:rsidRPr="00BF10AD">
        <w:rPr>
          <w:rFonts w:cs="Calibri"/>
        </w:rPr>
        <w:t xml:space="preserve">the following indicators: (i) </w:t>
      </w:r>
      <w:r>
        <w:rPr>
          <w:rFonts w:cs="Calibri"/>
        </w:rPr>
        <w:t>e</w:t>
      </w:r>
      <w:r w:rsidRPr="00BF10AD">
        <w:rPr>
          <w:rFonts w:cs="Calibri"/>
        </w:rPr>
        <w:t>ntrepreneurial learning and women's entrepreneurship; (ii) bankruptcy and second chance for SMEs; (iii) regulatory framework for SME policy making; (iv) operational environment for SMEs; (v) support services for SMEs and start-ups and public procurement; (vi) access to finance for SMEs; (vii) standards and technical regulation; (viii) enterprise skills and innovation policy for SMEs; (ix) SMEs in a green economy; (x) internationalisation of SMEs.</w:t>
      </w:r>
    </w:p>
    <w:p w:rsidR="00CD3A18" w:rsidRDefault="00CD3A18" w:rsidP="00BC17D6">
      <w:pPr>
        <w:rPr>
          <w:rFonts w:cs="Calibri"/>
        </w:rPr>
      </w:pPr>
      <w:r>
        <w:rPr>
          <w:rFonts w:cs="Calibri"/>
        </w:rPr>
        <w:t xml:space="preserve">The SBA scores for </w:t>
      </w:r>
      <w:smartTag w:uri="urn:schemas-microsoft-com:office:smarttags" w:element="country-region">
        <w:smartTag w:uri="urn:schemas-microsoft-com:office:smarttags" w:element="place">
          <w:r>
            <w:rPr>
              <w:rFonts w:cs="Calibri"/>
            </w:rPr>
            <w:t>Albania</w:t>
          </w:r>
        </w:smartTag>
      </w:smartTag>
      <w:r>
        <w:rPr>
          <w:rFonts w:cs="Calibri"/>
        </w:rPr>
        <w:t xml:space="preserve"> are as indicated in the graph below:  </w:t>
      </w:r>
    </w:p>
    <w:p w:rsidR="00CD3A18" w:rsidRPr="00BF10AD" w:rsidRDefault="00CD3A18" w:rsidP="00BC17D6">
      <w:pPr>
        <w:rPr>
          <w:rFonts w:cs="Calibri"/>
        </w:rPr>
      </w:pPr>
      <w:r w:rsidRPr="005870E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50pt;height:244.5pt;visibility:visible">
            <v:imagedata r:id="rId4" o:title=""/>
          </v:shape>
        </w:pict>
      </w:r>
    </w:p>
    <w:p w:rsidR="00CD3A18" w:rsidRDefault="00CD3A18" w:rsidP="00BC17D6">
      <w:pPr>
        <w:rPr>
          <w:rFonts w:ascii="Helvetica-Condensed" w:hAnsi="Helvetica-Condensed" w:cs="Helvetica-Condensed"/>
          <w:sz w:val="14"/>
          <w:szCs w:val="14"/>
        </w:rPr>
      </w:pPr>
    </w:p>
    <w:p w:rsidR="00CD3A18" w:rsidRDefault="00CD3A18" w:rsidP="00BC17D6">
      <w:pPr>
        <w:rPr>
          <w:rFonts w:ascii="Helvetica-Condensed" w:hAnsi="Helvetica-Condensed" w:cs="Helvetica-Condensed"/>
          <w:sz w:val="14"/>
          <w:szCs w:val="14"/>
        </w:rPr>
      </w:pPr>
    </w:p>
    <w:p w:rsidR="00CD3A18" w:rsidRDefault="00CD3A18" w:rsidP="008A6A9C">
      <w:pPr>
        <w:jc w:val="both"/>
      </w:pPr>
      <w:r>
        <w:t xml:space="preserve">According to the SBA, business environment in </w:t>
      </w:r>
      <w:smartTag w:uri="urn:schemas-microsoft-com:office:smarttags" w:element="place">
        <w:smartTag w:uri="urn:schemas-microsoft-com:office:smarttags" w:element="country-region">
          <w:r>
            <w:t>Albania</w:t>
          </w:r>
        </w:smartTag>
      </w:smartTag>
      <w:r>
        <w:t xml:space="preserve"> has steadily improved over the last few years, but improvements are still needed such as those linked with</w:t>
      </w:r>
      <w:r w:rsidRPr="008F686D">
        <w:t xml:space="preserve"> </w:t>
      </w:r>
      <w:r>
        <w:t>enforcement of laws. Albania made progress in indicators related to access to credit and protecting investors and was in line with the regional average on other indicators, but progress is still needed in indicators related to obtaining construction permits, getting electricity, registering property and paying taxes.</w:t>
      </w:r>
    </w:p>
    <w:p w:rsidR="00CD3A18" w:rsidRDefault="00CD3A18" w:rsidP="008A6A9C">
      <w:pPr>
        <w:jc w:val="both"/>
      </w:pPr>
      <w:r>
        <w:t xml:space="preserve">Over the last three years </w:t>
      </w:r>
      <w:smartTag w:uri="urn:schemas-microsoft-com:office:smarttags" w:element="country-region">
        <w:smartTag w:uri="urn:schemas-microsoft-com:office:smarttags" w:element="place">
          <w:r>
            <w:t>Albania</w:t>
          </w:r>
        </w:smartTag>
      </w:smartTag>
      <w:r>
        <w:t xml:space="preserve"> has made progress in SME policy implementation and policy convergence towards EU standards and practices. However, its performance has been uneven across the policy dimensions covered by the SBA. </w:t>
      </w:r>
      <w:smartTag w:uri="urn:schemas-microsoft-com:office:smarttags" w:element="country-region">
        <w:smartTag w:uri="urn:schemas-microsoft-com:office:smarttags" w:element="place">
          <w:r>
            <w:t>Albania</w:t>
          </w:r>
        </w:smartTag>
      </w:smartTag>
      <w:r>
        <w:t>’s performance has been relatively strong in those areas related to improving the operational environment. It has strongly improved the company registration and business start-up process. It has also done well in the area of bankruptcy procedures, regulatory reform and simplification, and access to finance. Weaknesses do still persist in areas such as the provision of SME support services, innovation policy and promotion of environmental standards.</w:t>
      </w:r>
    </w:p>
    <w:p w:rsidR="00CD3A18" w:rsidRDefault="00CD3A18" w:rsidP="008A6A9C">
      <w:pPr>
        <w:jc w:val="both"/>
      </w:pPr>
      <w:r>
        <w:t xml:space="preserve">One of the major institutional developments has been the creation of the Albanian Investment Development Agency (AIDA) in May 2011. AIDA is expected to play a major role in SME advocacy and provision of business services. </w:t>
      </w:r>
    </w:p>
    <w:p w:rsidR="00CD3A18" w:rsidRDefault="00CD3A18" w:rsidP="008A6A9C">
      <w:pPr>
        <w:jc w:val="both"/>
      </w:pPr>
      <w:r>
        <w:t xml:space="preserve">Women’s entrepreneurship could be helped by addressing the training and access to finance concerns as a package whereby access to finance would be conditional on start-up, early phase and enterprise growth training and follow-up mentoring </w:t>
      </w:r>
      <w:bookmarkStart w:id="0" w:name="_GoBack"/>
      <w:bookmarkEnd w:id="0"/>
      <w:r>
        <w:t>services. More dedicated support for skills and knowledge development in sectors with potential for improved trade in the EU’s internal market could be considered. The innovation and competitiveness funds could play a role here.</w:t>
      </w:r>
    </w:p>
    <w:p w:rsidR="00CD3A18" w:rsidRDefault="00CD3A18" w:rsidP="008A6A9C">
      <w:pPr>
        <w:jc w:val="both"/>
      </w:pPr>
      <w:smartTag w:uri="urn:schemas-microsoft-com:office:smarttags" w:element="country-region">
        <w:smartTag w:uri="urn:schemas-microsoft-com:office:smarttags" w:element="place">
          <w:r>
            <w:t>Albania</w:t>
          </w:r>
        </w:smartTag>
      </w:smartTag>
      <w:r>
        <w:t xml:space="preserve"> should continue to focus on improving the business environment, moving towards the systematic introduction of a full regulatory impact assessment for all legislation with direct implications on business operations, while at the same time continuing to improve the transparency and efficiency of the tax administration.</w:t>
      </w:r>
    </w:p>
    <w:p w:rsidR="00CD3A18" w:rsidRPr="00BC17D6" w:rsidRDefault="00CD3A18" w:rsidP="008A6A9C">
      <w:pPr>
        <w:jc w:val="both"/>
      </w:pPr>
      <w:r>
        <w:t xml:space="preserve">It is also vital that </w:t>
      </w:r>
      <w:smartTag w:uri="urn:schemas-microsoft-com:office:smarttags" w:element="place">
        <w:r>
          <w:t>Albania</w:t>
        </w:r>
      </w:smartTag>
      <w:r>
        <w:t xml:space="preserve"> pursues the implementation of the innovation strategy it approved in 2009 and introduces a set of business services supporting those SMEs with the highest growth and export potential. </w:t>
      </w:r>
      <w:smartTag w:uri="urn:schemas-microsoft-com:office:smarttags" w:element="place">
        <w:r>
          <w:t>Albania</w:t>
        </w:r>
      </w:smartTag>
      <w:r>
        <w:t>’s manufacturing sector, made up mostly of companies operating in the textiles, garment and leather industries, needs to move upwards in the international supply chains. It should put in place a range of new targeted business support services, covering technical innovation, incorporation of technical and quality standards, provision of training and skill development schemes, and export promotion services.</w:t>
      </w:r>
    </w:p>
    <w:sectPr w:rsidR="00CD3A18" w:rsidRPr="00BC17D6" w:rsidSect="005712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altName w:val=" Arial"/>
    <w:panose1 w:val="020B0604030504040204"/>
    <w:charset w:val="00"/>
    <w:family w:val="swiss"/>
    <w:pitch w:val="variable"/>
    <w:sig w:usb0="61002A87" w:usb1="80000000" w:usb2="00000008" w:usb3="00000000" w:csb0="000101FF" w:csb1="00000000"/>
  </w:font>
  <w:font w:name="Helvetica-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9E4E13"/>
    <w:rsid w:val="00160A6B"/>
    <w:rsid w:val="00183288"/>
    <w:rsid w:val="00190B84"/>
    <w:rsid w:val="001D2060"/>
    <w:rsid w:val="001E3BD5"/>
    <w:rsid w:val="00284CD9"/>
    <w:rsid w:val="00346B03"/>
    <w:rsid w:val="00532F23"/>
    <w:rsid w:val="005712AD"/>
    <w:rsid w:val="005870EE"/>
    <w:rsid w:val="005B6EB3"/>
    <w:rsid w:val="005D70CA"/>
    <w:rsid w:val="005F1919"/>
    <w:rsid w:val="007D6F15"/>
    <w:rsid w:val="007E5189"/>
    <w:rsid w:val="008A6A9C"/>
    <w:rsid w:val="008B4A3F"/>
    <w:rsid w:val="008F686D"/>
    <w:rsid w:val="009E4E13"/>
    <w:rsid w:val="00B17CF6"/>
    <w:rsid w:val="00B94A98"/>
    <w:rsid w:val="00BC17D6"/>
    <w:rsid w:val="00BF10AD"/>
    <w:rsid w:val="00C33220"/>
    <w:rsid w:val="00C9557A"/>
    <w:rsid w:val="00CB3FAD"/>
    <w:rsid w:val="00CD3A18"/>
    <w:rsid w:val="00CF22EC"/>
    <w:rsid w:val="00F12215"/>
    <w:rsid w:val="00F122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AD"/>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F1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10AD"/>
    <w:rPr>
      <w:rFonts w:ascii="Tahoma" w:hAnsi="Tahoma" w:cs="Tahoma"/>
      <w:sz w:val="16"/>
      <w:szCs w:val="16"/>
    </w:rPr>
  </w:style>
  <w:style w:type="character" w:styleId="CommentReference">
    <w:name w:val="annotation reference"/>
    <w:basedOn w:val="DefaultParagraphFont"/>
    <w:uiPriority w:val="99"/>
    <w:semiHidden/>
    <w:rsid w:val="005D70CA"/>
    <w:rPr>
      <w:rFonts w:cs="Times New Roman"/>
      <w:sz w:val="16"/>
      <w:szCs w:val="16"/>
    </w:rPr>
  </w:style>
  <w:style w:type="paragraph" w:styleId="CommentText">
    <w:name w:val="annotation text"/>
    <w:basedOn w:val="Normal"/>
    <w:link w:val="CommentTextChar"/>
    <w:uiPriority w:val="99"/>
    <w:semiHidden/>
    <w:rsid w:val="005D70C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0CA"/>
    <w:rPr>
      <w:rFonts w:cs="Times New Roman"/>
      <w:sz w:val="20"/>
      <w:szCs w:val="20"/>
    </w:rPr>
  </w:style>
  <w:style w:type="paragraph" w:styleId="CommentSubject">
    <w:name w:val="annotation subject"/>
    <w:basedOn w:val="CommentText"/>
    <w:next w:val="CommentText"/>
    <w:link w:val="CommentSubjectChar"/>
    <w:uiPriority w:val="99"/>
    <w:semiHidden/>
    <w:rsid w:val="005D70CA"/>
    <w:rPr>
      <w:b/>
      <w:bCs/>
    </w:rPr>
  </w:style>
  <w:style w:type="character" w:customStyle="1" w:styleId="CommentSubjectChar">
    <w:name w:val="Comment Subject Char"/>
    <w:basedOn w:val="CommentTextChar"/>
    <w:link w:val="CommentSubject"/>
    <w:uiPriority w:val="99"/>
    <w:semiHidden/>
    <w:locked/>
    <w:rsid w:val="005D70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661</Words>
  <Characters>3773</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weekOn 4 February the Directorate-General for Enterprise and Industry of the European Commission officially presented in Tirana the results of the Small and Medium-Sized Enterprises (SMEs) Policy Index report</dc:title>
  <dc:subject/>
  <dc:creator>popesli</dc:creator>
  <cp:keywords/>
  <dc:description/>
  <cp:lastModifiedBy>thanasu</cp:lastModifiedBy>
  <cp:revision>2</cp:revision>
  <dcterms:created xsi:type="dcterms:W3CDTF">2013-02-27T15:31:00Z</dcterms:created>
  <dcterms:modified xsi:type="dcterms:W3CDTF">2013-02-27T15:31:00Z</dcterms:modified>
</cp:coreProperties>
</file>